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acBuGuideStaticData_12944H"/>
    <w:p w14:paraId="0A4BC1DC" w14:textId="77777777" w:rsidR="008011B5" w:rsidRDefault="002460BB">
      <w:pPr>
        <w:pStyle w:val="TOC1"/>
        <w:rPr>
          <w:rFonts w:asciiTheme="minorHAnsi" w:eastAsiaTheme="minorEastAsia" w:hAnsiTheme="minorHAnsi" w:cstheme="minorBidi"/>
          <w:sz w:val="24"/>
          <w:szCs w:val="24"/>
        </w:rPr>
      </w:pPr>
      <w:r>
        <w:fldChar w:fldCharType="begin"/>
      </w:r>
      <w:r>
        <w:instrText xml:space="preserve"> TOC \o "1-2" \p " " \h \z \u </w:instrText>
      </w:r>
      <w:r>
        <w:fldChar w:fldCharType="separate"/>
      </w:r>
      <w:hyperlink w:anchor="_Toc483321370" w:history="1">
        <w:r w:rsidR="008011B5" w:rsidRPr="00A82941">
          <w:rPr>
            <w:rStyle w:val="Hyperlink"/>
          </w:rPr>
          <w:t>Introduction</w:t>
        </w:r>
        <w:r w:rsidR="008011B5">
          <w:rPr>
            <w:webHidden/>
          </w:rPr>
          <w:t xml:space="preserve"> </w:t>
        </w:r>
        <w:r w:rsidR="008011B5">
          <w:rPr>
            <w:webHidden/>
          </w:rPr>
          <w:fldChar w:fldCharType="begin"/>
        </w:r>
        <w:r w:rsidR="008011B5">
          <w:rPr>
            <w:webHidden/>
          </w:rPr>
          <w:instrText xml:space="preserve"> PAGEREF _Toc483321370 \h </w:instrText>
        </w:r>
        <w:r w:rsidR="008011B5">
          <w:rPr>
            <w:webHidden/>
          </w:rPr>
        </w:r>
        <w:r w:rsidR="008011B5">
          <w:rPr>
            <w:webHidden/>
          </w:rPr>
          <w:fldChar w:fldCharType="separate"/>
        </w:r>
        <w:r w:rsidR="008011B5">
          <w:rPr>
            <w:webHidden/>
          </w:rPr>
          <w:t>1</w:t>
        </w:r>
        <w:r w:rsidR="008011B5">
          <w:rPr>
            <w:webHidden/>
          </w:rPr>
          <w:fldChar w:fldCharType="end"/>
        </w:r>
      </w:hyperlink>
    </w:p>
    <w:p w14:paraId="1758DE48" w14:textId="77777777" w:rsidR="008011B5" w:rsidRDefault="008653F6">
      <w:pPr>
        <w:pStyle w:val="TOC1"/>
        <w:rPr>
          <w:rFonts w:asciiTheme="minorHAnsi" w:eastAsiaTheme="minorEastAsia" w:hAnsiTheme="minorHAnsi" w:cstheme="minorBidi"/>
          <w:sz w:val="24"/>
          <w:szCs w:val="24"/>
        </w:rPr>
      </w:pPr>
      <w:hyperlink w:anchor="_Toc483321371" w:history="1">
        <w:r w:rsidR="008011B5" w:rsidRPr="00A82941">
          <w:rPr>
            <w:rStyle w:val="Hyperlink"/>
          </w:rPr>
          <w:t>Conservation Impact</w:t>
        </w:r>
        <w:r w:rsidR="008011B5">
          <w:rPr>
            <w:webHidden/>
          </w:rPr>
          <w:t xml:space="preserve"> </w:t>
        </w:r>
        <w:r w:rsidR="008011B5">
          <w:rPr>
            <w:webHidden/>
          </w:rPr>
          <w:fldChar w:fldCharType="begin"/>
        </w:r>
        <w:r w:rsidR="008011B5">
          <w:rPr>
            <w:webHidden/>
          </w:rPr>
          <w:instrText xml:space="preserve"> PAGEREF _Toc483321371 \h </w:instrText>
        </w:r>
        <w:r w:rsidR="008011B5">
          <w:rPr>
            <w:webHidden/>
          </w:rPr>
        </w:r>
        <w:r w:rsidR="008011B5">
          <w:rPr>
            <w:webHidden/>
          </w:rPr>
          <w:fldChar w:fldCharType="separate"/>
        </w:r>
        <w:r w:rsidR="008011B5">
          <w:rPr>
            <w:webHidden/>
          </w:rPr>
          <w:t>1</w:t>
        </w:r>
        <w:r w:rsidR="008011B5">
          <w:rPr>
            <w:webHidden/>
          </w:rPr>
          <w:fldChar w:fldCharType="end"/>
        </w:r>
      </w:hyperlink>
    </w:p>
    <w:p w14:paraId="47541CF7" w14:textId="77777777" w:rsidR="008011B5" w:rsidRDefault="008653F6">
      <w:pPr>
        <w:pStyle w:val="TOC1"/>
        <w:rPr>
          <w:rFonts w:asciiTheme="minorHAnsi" w:eastAsiaTheme="minorEastAsia" w:hAnsiTheme="minorHAnsi" w:cstheme="minorBidi"/>
          <w:sz w:val="24"/>
          <w:szCs w:val="24"/>
        </w:rPr>
      </w:pPr>
      <w:hyperlink w:anchor="_Toc483321372" w:history="1">
        <w:r w:rsidR="008011B5" w:rsidRPr="00A82941">
          <w:rPr>
            <w:rStyle w:val="Hyperlink"/>
          </w:rPr>
          <w:t>Challenges</w:t>
        </w:r>
        <w:r w:rsidR="008011B5">
          <w:rPr>
            <w:webHidden/>
          </w:rPr>
          <w:t xml:space="preserve"> </w:t>
        </w:r>
        <w:r w:rsidR="008011B5">
          <w:rPr>
            <w:webHidden/>
          </w:rPr>
          <w:fldChar w:fldCharType="begin"/>
        </w:r>
        <w:r w:rsidR="008011B5">
          <w:rPr>
            <w:webHidden/>
          </w:rPr>
          <w:instrText xml:space="preserve"> PAGEREF _Toc483321372 \h </w:instrText>
        </w:r>
        <w:r w:rsidR="008011B5">
          <w:rPr>
            <w:webHidden/>
          </w:rPr>
        </w:r>
        <w:r w:rsidR="008011B5">
          <w:rPr>
            <w:webHidden/>
          </w:rPr>
          <w:fldChar w:fldCharType="separate"/>
        </w:r>
        <w:r w:rsidR="008011B5">
          <w:rPr>
            <w:webHidden/>
          </w:rPr>
          <w:t>1</w:t>
        </w:r>
        <w:r w:rsidR="008011B5">
          <w:rPr>
            <w:webHidden/>
          </w:rPr>
          <w:fldChar w:fldCharType="end"/>
        </w:r>
      </w:hyperlink>
    </w:p>
    <w:p w14:paraId="00E7FB0A" w14:textId="77777777" w:rsidR="008011B5" w:rsidRDefault="008653F6">
      <w:pPr>
        <w:pStyle w:val="TOC1"/>
        <w:rPr>
          <w:rFonts w:asciiTheme="minorHAnsi" w:eastAsiaTheme="minorEastAsia" w:hAnsiTheme="minorHAnsi" w:cstheme="minorBidi"/>
          <w:sz w:val="24"/>
          <w:szCs w:val="24"/>
        </w:rPr>
      </w:pPr>
      <w:hyperlink w:anchor="_Toc483321373" w:history="1">
        <w:r w:rsidR="008011B5" w:rsidRPr="00A82941">
          <w:rPr>
            <w:rStyle w:val="Hyperlink"/>
          </w:rPr>
          <w:t>The Basics of a Build-Out Analysis</w:t>
        </w:r>
        <w:r w:rsidR="008011B5">
          <w:rPr>
            <w:webHidden/>
          </w:rPr>
          <w:t xml:space="preserve"> </w:t>
        </w:r>
        <w:r w:rsidR="008011B5">
          <w:rPr>
            <w:webHidden/>
          </w:rPr>
          <w:fldChar w:fldCharType="begin"/>
        </w:r>
        <w:r w:rsidR="008011B5">
          <w:rPr>
            <w:webHidden/>
          </w:rPr>
          <w:instrText xml:space="preserve"> PAGEREF _Toc483321373 \h </w:instrText>
        </w:r>
        <w:r w:rsidR="008011B5">
          <w:rPr>
            <w:webHidden/>
          </w:rPr>
        </w:r>
        <w:r w:rsidR="008011B5">
          <w:rPr>
            <w:webHidden/>
          </w:rPr>
          <w:fldChar w:fldCharType="separate"/>
        </w:r>
        <w:r w:rsidR="008011B5">
          <w:rPr>
            <w:webHidden/>
          </w:rPr>
          <w:t>2</w:t>
        </w:r>
        <w:r w:rsidR="008011B5">
          <w:rPr>
            <w:webHidden/>
          </w:rPr>
          <w:fldChar w:fldCharType="end"/>
        </w:r>
      </w:hyperlink>
    </w:p>
    <w:p w14:paraId="5E9650CC" w14:textId="77777777" w:rsidR="008011B5" w:rsidRDefault="008653F6">
      <w:pPr>
        <w:pStyle w:val="TOC2"/>
        <w:rPr>
          <w:rFonts w:asciiTheme="minorHAnsi" w:eastAsiaTheme="minorEastAsia" w:hAnsiTheme="minorHAnsi" w:cstheme="minorBidi"/>
          <w:sz w:val="24"/>
        </w:rPr>
      </w:pPr>
      <w:hyperlink w:anchor="_Toc483321374" w:history="1">
        <w:r w:rsidR="008011B5" w:rsidRPr="00A82941">
          <w:rPr>
            <w:rStyle w:val="Hyperlink"/>
          </w:rPr>
          <w:t>Two Phases</w:t>
        </w:r>
        <w:r w:rsidR="008011B5">
          <w:rPr>
            <w:webHidden/>
          </w:rPr>
          <w:t xml:space="preserve"> </w:t>
        </w:r>
        <w:r w:rsidR="008011B5">
          <w:rPr>
            <w:webHidden/>
          </w:rPr>
          <w:fldChar w:fldCharType="begin"/>
        </w:r>
        <w:r w:rsidR="008011B5">
          <w:rPr>
            <w:webHidden/>
          </w:rPr>
          <w:instrText xml:space="preserve"> PAGEREF _Toc483321374 \h </w:instrText>
        </w:r>
        <w:r w:rsidR="008011B5">
          <w:rPr>
            <w:webHidden/>
          </w:rPr>
        </w:r>
        <w:r w:rsidR="008011B5">
          <w:rPr>
            <w:webHidden/>
          </w:rPr>
          <w:fldChar w:fldCharType="separate"/>
        </w:r>
        <w:r w:rsidR="008011B5">
          <w:rPr>
            <w:webHidden/>
          </w:rPr>
          <w:t>2</w:t>
        </w:r>
        <w:r w:rsidR="008011B5">
          <w:rPr>
            <w:webHidden/>
          </w:rPr>
          <w:fldChar w:fldCharType="end"/>
        </w:r>
      </w:hyperlink>
    </w:p>
    <w:p w14:paraId="47A69BB8" w14:textId="77777777" w:rsidR="008011B5" w:rsidRDefault="008653F6">
      <w:pPr>
        <w:pStyle w:val="TOC2"/>
        <w:rPr>
          <w:rFonts w:asciiTheme="minorHAnsi" w:eastAsiaTheme="minorEastAsia" w:hAnsiTheme="minorHAnsi" w:cstheme="minorBidi"/>
          <w:sz w:val="24"/>
        </w:rPr>
      </w:pPr>
      <w:hyperlink w:anchor="_Toc483321375" w:history="1">
        <w:r w:rsidR="008011B5" w:rsidRPr="00A82941">
          <w:rPr>
            <w:rStyle w:val="Hyperlink"/>
          </w:rPr>
          <w:t>GIS</w:t>
        </w:r>
        <w:r w:rsidR="008011B5">
          <w:rPr>
            <w:webHidden/>
          </w:rPr>
          <w:t xml:space="preserve"> </w:t>
        </w:r>
        <w:r w:rsidR="008011B5">
          <w:rPr>
            <w:webHidden/>
          </w:rPr>
          <w:fldChar w:fldCharType="begin"/>
        </w:r>
        <w:r w:rsidR="008011B5">
          <w:rPr>
            <w:webHidden/>
          </w:rPr>
          <w:instrText xml:space="preserve"> PAGEREF _Toc483321375 \h </w:instrText>
        </w:r>
        <w:r w:rsidR="008011B5">
          <w:rPr>
            <w:webHidden/>
          </w:rPr>
        </w:r>
        <w:r w:rsidR="008011B5">
          <w:rPr>
            <w:webHidden/>
          </w:rPr>
          <w:fldChar w:fldCharType="separate"/>
        </w:r>
        <w:r w:rsidR="008011B5">
          <w:rPr>
            <w:webHidden/>
          </w:rPr>
          <w:t>2</w:t>
        </w:r>
        <w:r w:rsidR="008011B5">
          <w:rPr>
            <w:webHidden/>
          </w:rPr>
          <w:fldChar w:fldCharType="end"/>
        </w:r>
      </w:hyperlink>
    </w:p>
    <w:p w14:paraId="5DB0BF94" w14:textId="77777777" w:rsidR="008011B5" w:rsidRDefault="008653F6">
      <w:pPr>
        <w:pStyle w:val="TOC2"/>
        <w:rPr>
          <w:rFonts w:asciiTheme="minorHAnsi" w:eastAsiaTheme="minorEastAsia" w:hAnsiTheme="minorHAnsi" w:cstheme="minorBidi"/>
          <w:sz w:val="24"/>
        </w:rPr>
      </w:pPr>
      <w:hyperlink w:anchor="_Toc483321376" w:history="1">
        <w:r w:rsidR="008011B5" w:rsidRPr="00A82941">
          <w:rPr>
            <w:rStyle w:val="Hyperlink"/>
          </w:rPr>
          <w:t>Future Street Scenes</w:t>
        </w:r>
        <w:r w:rsidR="008011B5">
          <w:rPr>
            <w:webHidden/>
          </w:rPr>
          <w:t xml:space="preserve"> </w:t>
        </w:r>
        <w:r w:rsidR="008011B5">
          <w:rPr>
            <w:webHidden/>
          </w:rPr>
          <w:fldChar w:fldCharType="begin"/>
        </w:r>
        <w:r w:rsidR="008011B5">
          <w:rPr>
            <w:webHidden/>
          </w:rPr>
          <w:instrText xml:space="preserve"> PAGEREF _Toc483321376 \h </w:instrText>
        </w:r>
        <w:r w:rsidR="008011B5">
          <w:rPr>
            <w:webHidden/>
          </w:rPr>
        </w:r>
        <w:r w:rsidR="008011B5">
          <w:rPr>
            <w:webHidden/>
          </w:rPr>
          <w:fldChar w:fldCharType="separate"/>
        </w:r>
        <w:r w:rsidR="008011B5">
          <w:rPr>
            <w:webHidden/>
          </w:rPr>
          <w:t>2</w:t>
        </w:r>
        <w:r w:rsidR="008011B5">
          <w:rPr>
            <w:webHidden/>
          </w:rPr>
          <w:fldChar w:fldCharType="end"/>
        </w:r>
      </w:hyperlink>
    </w:p>
    <w:p w14:paraId="60B27385" w14:textId="77777777" w:rsidR="008011B5" w:rsidRDefault="008653F6">
      <w:pPr>
        <w:pStyle w:val="TOC2"/>
        <w:rPr>
          <w:rFonts w:asciiTheme="minorHAnsi" w:eastAsiaTheme="minorEastAsia" w:hAnsiTheme="minorHAnsi" w:cstheme="minorBidi"/>
          <w:sz w:val="24"/>
        </w:rPr>
      </w:pPr>
      <w:hyperlink w:anchor="_Toc483321377" w:history="1">
        <w:r w:rsidR="008011B5" w:rsidRPr="00A82941">
          <w:rPr>
            <w:rStyle w:val="Hyperlink"/>
          </w:rPr>
          <w:t>Scale</w:t>
        </w:r>
        <w:r w:rsidR="008011B5">
          <w:rPr>
            <w:webHidden/>
          </w:rPr>
          <w:t xml:space="preserve"> </w:t>
        </w:r>
        <w:r w:rsidR="008011B5">
          <w:rPr>
            <w:webHidden/>
          </w:rPr>
          <w:fldChar w:fldCharType="begin"/>
        </w:r>
        <w:r w:rsidR="008011B5">
          <w:rPr>
            <w:webHidden/>
          </w:rPr>
          <w:instrText xml:space="preserve"> PAGEREF _Toc483321377 \h </w:instrText>
        </w:r>
        <w:r w:rsidR="008011B5">
          <w:rPr>
            <w:webHidden/>
          </w:rPr>
        </w:r>
        <w:r w:rsidR="008011B5">
          <w:rPr>
            <w:webHidden/>
          </w:rPr>
          <w:fldChar w:fldCharType="separate"/>
        </w:r>
        <w:r w:rsidR="008011B5">
          <w:rPr>
            <w:webHidden/>
          </w:rPr>
          <w:t>2</w:t>
        </w:r>
        <w:r w:rsidR="008011B5">
          <w:rPr>
            <w:webHidden/>
          </w:rPr>
          <w:fldChar w:fldCharType="end"/>
        </w:r>
      </w:hyperlink>
    </w:p>
    <w:p w14:paraId="39069E97" w14:textId="77777777" w:rsidR="008011B5" w:rsidRDefault="008653F6">
      <w:pPr>
        <w:pStyle w:val="TOC1"/>
        <w:rPr>
          <w:rFonts w:asciiTheme="minorHAnsi" w:eastAsiaTheme="minorEastAsia" w:hAnsiTheme="minorHAnsi" w:cstheme="minorBidi"/>
          <w:sz w:val="24"/>
          <w:szCs w:val="24"/>
        </w:rPr>
      </w:pPr>
      <w:hyperlink w:anchor="_Toc483321378" w:history="1">
        <w:r w:rsidR="008011B5" w:rsidRPr="00A82941">
          <w:rPr>
            <w:rStyle w:val="Hyperlink"/>
          </w:rPr>
          <w:t>Conducting a Build-Out Analysis</w:t>
        </w:r>
        <w:r w:rsidR="008011B5">
          <w:rPr>
            <w:webHidden/>
          </w:rPr>
          <w:t xml:space="preserve"> </w:t>
        </w:r>
        <w:r w:rsidR="008011B5">
          <w:rPr>
            <w:webHidden/>
          </w:rPr>
          <w:fldChar w:fldCharType="begin"/>
        </w:r>
        <w:r w:rsidR="008011B5">
          <w:rPr>
            <w:webHidden/>
          </w:rPr>
          <w:instrText xml:space="preserve"> PAGEREF _Toc483321378 \h </w:instrText>
        </w:r>
        <w:r w:rsidR="008011B5">
          <w:rPr>
            <w:webHidden/>
          </w:rPr>
        </w:r>
        <w:r w:rsidR="008011B5">
          <w:rPr>
            <w:webHidden/>
          </w:rPr>
          <w:fldChar w:fldCharType="separate"/>
        </w:r>
        <w:r w:rsidR="008011B5">
          <w:rPr>
            <w:webHidden/>
          </w:rPr>
          <w:t>2</w:t>
        </w:r>
        <w:r w:rsidR="008011B5">
          <w:rPr>
            <w:webHidden/>
          </w:rPr>
          <w:fldChar w:fldCharType="end"/>
        </w:r>
      </w:hyperlink>
    </w:p>
    <w:p w14:paraId="4DFEE890" w14:textId="77777777" w:rsidR="008011B5" w:rsidRDefault="008653F6">
      <w:pPr>
        <w:pStyle w:val="TOC2"/>
        <w:rPr>
          <w:rFonts w:asciiTheme="minorHAnsi" w:eastAsiaTheme="minorEastAsia" w:hAnsiTheme="minorHAnsi" w:cstheme="minorBidi"/>
          <w:sz w:val="24"/>
        </w:rPr>
      </w:pPr>
      <w:hyperlink w:anchor="_Toc483321379" w:history="1">
        <w:r w:rsidR="008011B5" w:rsidRPr="00A82941">
          <w:rPr>
            <w:rStyle w:val="Hyperlink"/>
          </w:rPr>
          <w:t>Micro-Scale Analysis</w:t>
        </w:r>
        <w:r w:rsidR="008011B5">
          <w:rPr>
            <w:webHidden/>
          </w:rPr>
          <w:t xml:space="preserve"> </w:t>
        </w:r>
        <w:r w:rsidR="008011B5">
          <w:rPr>
            <w:webHidden/>
          </w:rPr>
          <w:fldChar w:fldCharType="begin"/>
        </w:r>
        <w:r w:rsidR="008011B5">
          <w:rPr>
            <w:webHidden/>
          </w:rPr>
          <w:instrText xml:space="preserve"> PAGEREF _Toc483321379 \h </w:instrText>
        </w:r>
        <w:r w:rsidR="008011B5">
          <w:rPr>
            <w:webHidden/>
          </w:rPr>
        </w:r>
        <w:r w:rsidR="008011B5">
          <w:rPr>
            <w:webHidden/>
          </w:rPr>
          <w:fldChar w:fldCharType="separate"/>
        </w:r>
        <w:r w:rsidR="008011B5">
          <w:rPr>
            <w:webHidden/>
          </w:rPr>
          <w:t>2</w:t>
        </w:r>
        <w:r w:rsidR="008011B5">
          <w:rPr>
            <w:webHidden/>
          </w:rPr>
          <w:fldChar w:fldCharType="end"/>
        </w:r>
      </w:hyperlink>
    </w:p>
    <w:p w14:paraId="472CB0C2" w14:textId="77777777" w:rsidR="008011B5" w:rsidRDefault="008653F6">
      <w:pPr>
        <w:pStyle w:val="TOC2"/>
        <w:rPr>
          <w:rFonts w:asciiTheme="minorHAnsi" w:eastAsiaTheme="minorEastAsia" w:hAnsiTheme="minorHAnsi" w:cstheme="minorBidi"/>
          <w:sz w:val="24"/>
        </w:rPr>
      </w:pPr>
      <w:hyperlink w:anchor="_Toc483321380" w:history="1">
        <w:r w:rsidR="008011B5" w:rsidRPr="00A82941">
          <w:rPr>
            <w:rStyle w:val="Hyperlink"/>
          </w:rPr>
          <w:t>Large-Scale Analysis</w:t>
        </w:r>
        <w:r w:rsidR="008011B5">
          <w:rPr>
            <w:webHidden/>
          </w:rPr>
          <w:t xml:space="preserve"> </w:t>
        </w:r>
        <w:r w:rsidR="008011B5">
          <w:rPr>
            <w:webHidden/>
          </w:rPr>
          <w:fldChar w:fldCharType="begin"/>
        </w:r>
        <w:r w:rsidR="008011B5">
          <w:rPr>
            <w:webHidden/>
          </w:rPr>
          <w:instrText xml:space="preserve"> PAGEREF _Toc483321380 \h </w:instrText>
        </w:r>
        <w:r w:rsidR="008011B5">
          <w:rPr>
            <w:webHidden/>
          </w:rPr>
        </w:r>
        <w:r w:rsidR="008011B5">
          <w:rPr>
            <w:webHidden/>
          </w:rPr>
          <w:fldChar w:fldCharType="separate"/>
        </w:r>
        <w:r w:rsidR="008011B5">
          <w:rPr>
            <w:webHidden/>
          </w:rPr>
          <w:t>4</w:t>
        </w:r>
        <w:r w:rsidR="008011B5">
          <w:rPr>
            <w:webHidden/>
          </w:rPr>
          <w:fldChar w:fldCharType="end"/>
        </w:r>
      </w:hyperlink>
    </w:p>
    <w:p w14:paraId="1885D127" w14:textId="77777777" w:rsidR="008011B5" w:rsidRDefault="008653F6">
      <w:pPr>
        <w:pStyle w:val="TOC2"/>
        <w:rPr>
          <w:rFonts w:asciiTheme="minorHAnsi" w:eastAsiaTheme="minorEastAsia" w:hAnsiTheme="minorHAnsi" w:cstheme="minorBidi"/>
          <w:sz w:val="24"/>
        </w:rPr>
      </w:pPr>
      <w:hyperlink w:anchor="_Toc483321381" w:history="1">
        <w:r w:rsidR="008011B5" w:rsidRPr="00A82941">
          <w:rPr>
            <w:rStyle w:val="Hyperlink"/>
          </w:rPr>
          <w:t>Other Options</w:t>
        </w:r>
        <w:r w:rsidR="008011B5">
          <w:rPr>
            <w:webHidden/>
          </w:rPr>
          <w:t xml:space="preserve"> </w:t>
        </w:r>
        <w:r w:rsidR="008011B5">
          <w:rPr>
            <w:webHidden/>
          </w:rPr>
          <w:fldChar w:fldCharType="begin"/>
        </w:r>
        <w:r w:rsidR="008011B5">
          <w:rPr>
            <w:webHidden/>
          </w:rPr>
          <w:instrText xml:space="preserve"> PAGEREF _Toc483321381 \h </w:instrText>
        </w:r>
        <w:r w:rsidR="008011B5">
          <w:rPr>
            <w:webHidden/>
          </w:rPr>
        </w:r>
        <w:r w:rsidR="008011B5">
          <w:rPr>
            <w:webHidden/>
          </w:rPr>
          <w:fldChar w:fldCharType="separate"/>
        </w:r>
        <w:r w:rsidR="008011B5">
          <w:rPr>
            <w:webHidden/>
          </w:rPr>
          <w:t>4</w:t>
        </w:r>
        <w:r w:rsidR="008011B5">
          <w:rPr>
            <w:webHidden/>
          </w:rPr>
          <w:fldChar w:fldCharType="end"/>
        </w:r>
      </w:hyperlink>
    </w:p>
    <w:p w14:paraId="60B5945E" w14:textId="77777777" w:rsidR="008011B5" w:rsidRDefault="008653F6">
      <w:pPr>
        <w:pStyle w:val="TOC1"/>
        <w:rPr>
          <w:rFonts w:asciiTheme="minorHAnsi" w:eastAsiaTheme="minorEastAsia" w:hAnsiTheme="minorHAnsi" w:cstheme="minorBidi"/>
          <w:sz w:val="24"/>
          <w:szCs w:val="24"/>
        </w:rPr>
      </w:pPr>
      <w:hyperlink w:anchor="_Toc483321382" w:history="1">
        <w:r w:rsidR="008011B5" w:rsidRPr="00A82941">
          <w:rPr>
            <w:rStyle w:val="Hyperlink"/>
          </w:rPr>
          <w:t>Response to Results</w:t>
        </w:r>
        <w:r w:rsidR="008011B5">
          <w:rPr>
            <w:webHidden/>
          </w:rPr>
          <w:t xml:space="preserve"> </w:t>
        </w:r>
        <w:r w:rsidR="008011B5">
          <w:rPr>
            <w:webHidden/>
          </w:rPr>
          <w:fldChar w:fldCharType="begin"/>
        </w:r>
        <w:r w:rsidR="008011B5">
          <w:rPr>
            <w:webHidden/>
          </w:rPr>
          <w:instrText xml:space="preserve"> PAGEREF _Toc483321382 \h </w:instrText>
        </w:r>
        <w:r w:rsidR="008011B5">
          <w:rPr>
            <w:webHidden/>
          </w:rPr>
        </w:r>
        <w:r w:rsidR="008011B5">
          <w:rPr>
            <w:webHidden/>
          </w:rPr>
          <w:fldChar w:fldCharType="separate"/>
        </w:r>
        <w:r w:rsidR="008011B5">
          <w:rPr>
            <w:webHidden/>
          </w:rPr>
          <w:t>5</w:t>
        </w:r>
        <w:r w:rsidR="008011B5">
          <w:rPr>
            <w:webHidden/>
          </w:rPr>
          <w:fldChar w:fldCharType="end"/>
        </w:r>
      </w:hyperlink>
    </w:p>
    <w:p w14:paraId="3109B3C4" w14:textId="77777777" w:rsidR="008011B5" w:rsidRDefault="008653F6">
      <w:pPr>
        <w:pStyle w:val="TOC1"/>
        <w:rPr>
          <w:rFonts w:asciiTheme="minorHAnsi" w:eastAsiaTheme="minorEastAsia" w:hAnsiTheme="minorHAnsi" w:cstheme="minorBidi"/>
          <w:sz w:val="24"/>
          <w:szCs w:val="24"/>
        </w:rPr>
      </w:pPr>
      <w:hyperlink w:anchor="_Toc483321383" w:history="1">
        <w:r w:rsidR="008011B5" w:rsidRPr="00A82941">
          <w:rPr>
            <w:rStyle w:val="Hyperlink"/>
          </w:rPr>
          <w:t>Resources at ConservationTools.org</w:t>
        </w:r>
        <w:r w:rsidR="008011B5">
          <w:rPr>
            <w:webHidden/>
          </w:rPr>
          <w:t xml:space="preserve"> </w:t>
        </w:r>
        <w:r w:rsidR="008011B5">
          <w:rPr>
            <w:webHidden/>
          </w:rPr>
          <w:fldChar w:fldCharType="begin"/>
        </w:r>
        <w:r w:rsidR="008011B5">
          <w:rPr>
            <w:webHidden/>
          </w:rPr>
          <w:instrText xml:space="preserve"> PAGEREF _Toc483321383 \h </w:instrText>
        </w:r>
        <w:r w:rsidR="008011B5">
          <w:rPr>
            <w:webHidden/>
          </w:rPr>
        </w:r>
        <w:r w:rsidR="008011B5">
          <w:rPr>
            <w:webHidden/>
          </w:rPr>
          <w:fldChar w:fldCharType="separate"/>
        </w:r>
        <w:r w:rsidR="008011B5">
          <w:rPr>
            <w:webHidden/>
          </w:rPr>
          <w:t>5</w:t>
        </w:r>
        <w:r w:rsidR="008011B5">
          <w:rPr>
            <w:webHidden/>
          </w:rPr>
          <w:fldChar w:fldCharType="end"/>
        </w:r>
      </w:hyperlink>
    </w:p>
    <w:p w14:paraId="62D49991" w14:textId="4A1464EF" w:rsidR="002460BB" w:rsidRPr="00084D56" w:rsidRDefault="002460BB" w:rsidP="002460BB">
      <w:pPr>
        <w:pStyle w:val="Heading1"/>
      </w:pPr>
      <w:r>
        <w:fldChar w:fldCharType="end"/>
      </w:r>
      <w:bookmarkStart w:id="1" w:name="_Toc483321370"/>
      <w:r w:rsidRPr="00084D56">
        <w:t>Introduction</w:t>
      </w:r>
      <w:bookmarkEnd w:id="1"/>
    </w:p>
    <w:p w14:paraId="1CB349D1" w14:textId="26B98DCD" w:rsidR="00245C0F" w:rsidRDefault="002460BB" w:rsidP="002460BB">
      <w:pPr>
        <w:pStyle w:val="BodyText"/>
      </w:pPr>
      <w:r w:rsidRPr="00FD06BF">
        <w:t>A build-out analysis answers basic question</w:t>
      </w:r>
      <w:r w:rsidR="00345F1E">
        <w:t>s</w:t>
      </w:r>
      <w:r w:rsidRPr="00FD06BF">
        <w:t xml:space="preserve">: </w:t>
      </w:r>
      <w:r w:rsidR="00345F1E">
        <w:t>I</w:t>
      </w:r>
      <w:r w:rsidRPr="00FD06BF">
        <w:t>f existing land development ordinances and open space programs (or lack thereof) remain unchanged, how much land m</w:t>
      </w:r>
      <w:r>
        <w:t xml:space="preserve">ight </w:t>
      </w:r>
      <w:r w:rsidRPr="00FD06BF">
        <w:t>ultimately be developed</w:t>
      </w:r>
      <w:r w:rsidR="00245C0F">
        <w:t>?</w:t>
      </w:r>
      <w:r w:rsidRPr="00FD06BF">
        <w:t xml:space="preserve"> </w:t>
      </w:r>
      <w:r w:rsidR="00245C0F">
        <w:t xml:space="preserve">At what density </w:t>
      </w:r>
      <w:r w:rsidRPr="00FD06BF">
        <w:t>and where?</w:t>
      </w:r>
      <w:r>
        <w:t xml:space="preserve"> </w:t>
      </w:r>
      <w:r w:rsidR="00245C0F">
        <w:t>And with what impact on the community?</w:t>
      </w:r>
    </w:p>
    <w:p w14:paraId="4F9A66D4" w14:textId="252395F1" w:rsidR="002460BB" w:rsidRDefault="002460BB" w:rsidP="002460BB">
      <w:pPr>
        <w:pStyle w:val="BodyText"/>
      </w:pPr>
      <w:r>
        <w:t xml:space="preserve">Residents often assume that their community's zoning regulations will prevent inappropriate development, but zoning regulations often allow development on </w:t>
      </w:r>
      <w:r>
        <w:rPr>
          <w:i/>
        </w:rPr>
        <w:t>all</w:t>
      </w:r>
      <w:r>
        <w:t xml:space="preserve"> buildable land. A build-out analysis projects the maximum residential and commercial development allowed under law in a given area. Analysis can also explore the impact of development on things like tax base, traffic, school enrollment, natural and historic resources, and quality of life. The results are usually conveyed through maps and charts.</w:t>
      </w:r>
    </w:p>
    <w:p w14:paraId="7167B565" w14:textId="6CEB268D" w:rsidR="002460BB" w:rsidRDefault="002460BB" w:rsidP="002460BB">
      <w:pPr>
        <w:pStyle w:val="BodyText"/>
      </w:pPr>
      <w:r>
        <w:t xml:space="preserve">By providing a glimpse of a potential future, a build-out analysis </w:t>
      </w:r>
      <w:r w:rsidR="00DA006B">
        <w:t>shows the implications of</w:t>
      </w:r>
      <w:r>
        <w:t xml:space="preserve"> existing development regulations and raises important questions for a community. Are beloved natural or historic resources threatened? What steps should be taken to </w:t>
      </w:r>
      <w:r>
        <w:lastRenderedPageBreak/>
        <w:t xml:space="preserve">accommodate future growth? </w:t>
      </w:r>
      <w:r w:rsidR="00F21BAF">
        <w:t xml:space="preserve">Do current municipal regulations match the community’s aspirations? </w:t>
      </w:r>
      <w:r>
        <w:t>The findings enable local leaders to b</w:t>
      </w:r>
      <w:r w:rsidR="000723DE">
        <w:t xml:space="preserve">etter plan for the future and </w:t>
      </w:r>
      <w:r>
        <w:t xml:space="preserve">alter municipal regulations and open space protections to shape a more desirable development path. </w:t>
      </w:r>
    </w:p>
    <w:p w14:paraId="42B98DBA" w14:textId="469C7971" w:rsidR="00970818" w:rsidRDefault="00970818" w:rsidP="002460BB">
      <w:pPr>
        <w:pStyle w:val="BodyText"/>
      </w:pPr>
      <w:r>
        <w:t xml:space="preserve">Build-out analysis has </w:t>
      </w:r>
      <w:r w:rsidR="007F7A21">
        <w:t>long been used by local governments. Examples of analyses are provided with the on-line edition of this guide.</w:t>
      </w:r>
    </w:p>
    <w:p w14:paraId="785F922B" w14:textId="35D872C9" w:rsidR="002460BB" w:rsidRDefault="002460BB" w:rsidP="002460BB">
      <w:pPr>
        <w:pStyle w:val="Heading1"/>
      </w:pPr>
      <w:bookmarkStart w:id="2" w:name="_Toc483321371"/>
      <w:r>
        <w:t>Conservation Impact</w:t>
      </w:r>
      <w:bookmarkEnd w:id="2"/>
    </w:p>
    <w:p w14:paraId="057780C6" w14:textId="36663FDC" w:rsidR="002460BB" w:rsidRPr="00274C1D" w:rsidRDefault="002460BB" w:rsidP="002460BB">
      <w:pPr>
        <w:pStyle w:val="BodyText"/>
      </w:pPr>
      <w:r w:rsidRPr="00137A3D">
        <w:t xml:space="preserve">Because a build-out analysis </w:t>
      </w:r>
      <w:r w:rsidR="00B745AB">
        <w:t>evaluates</w:t>
      </w:r>
      <w:r w:rsidRPr="00137A3D">
        <w:t xml:space="preserve"> the long-term consequences of a municipality’s ordinances, it shows much more development occurring </w:t>
      </w:r>
      <w:r>
        <w:t>than residents—who may be unaware of local zoning rules, or haven’t considered their implications—</w:t>
      </w:r>
      <w:r w:rsidRPr="00137A3D">
        <w:t xml:space="preserve">generally expect. </w:t>
      </w:r>
      <w:r>
        <w:t xml:space="preserve">By painting a picture of </w:t>
      </w:r>
      <w:r w:rsidRPr="00137A3D">
        <w:t xml:space="preserve">how current zoning </w:t>
      </w:r>
      <w:r>
        <w:t xml:space="preserve">laws could result in undesirable changes to the community, an analysis can inspire citizens, officials, and </w:t>
      </w:r>
      <w:r w:rsidR="000723DE">
        <w:t>local organizations</w:t>
      </w:r>
      <w:r>
        <w:t xml:space="preserve"> to </w:t>
      </w:r>
      <w:r w:rsidR="00120345">
        <w:t xml:space="preserve">advocate </w:t>
      </w:r>
      <w:r>
        <w:t xml:space="preserve">for changes to municipal regulations so that </w:t>
      </w:r>
      <w:r w:rsidR="00120345">
        <w:t xml:space="preserve">open space and particular </w:t>
      </w:r>
      <w:r>
        <w:t xml:space="preserve">places </w:t>
      </w:r>
      <w:r w:rsidR="00120345">
        <w:t>important to communities</w:t>
      </w:r>
      <w:r>
        <w:t xml:space="preserve"> are protected from development.</w:t>
      </w:r>
      <w:r w:rsidR="00120345">
        <w:t xml:space="preserve"> An analysis can also inspire the establishment or expansion of a municipal open space protection program.</w:t>
      </w:r>
    </w:p>
    <w:p w14:paraId="5493D6DD" w14:textId="77777777" w:rsidR="002460BB" w:rsidRDefault="002460BB" w:rsidP="002460BB">
      <w:pPr>
        <w:pStyle w:val="Heading1"/>
      </w:pPr>
      <w:bookmarkStart w:id="3" w:name="_Toc483321372"/>
      <w:r>
        <w:t>Challenges</w:t>
      </w:r>
      <w:bookmarkEnd w:id="3"/>
    </w:p>
    <w:p w14:paraId="46A6B932" w14:textId="6F8D51DA" w:rsidR="002460BB" w:rsidRPr="007A22FF" w:rsidRDefault="002460BB" w:rsidP="002460BB">
      <w:pPr>
        <w:pStyle w:val="BodyText"/>
      </w:pPr>
      <w:r>
        <w:t>A build-out analysis</w:t>
      </w:r>
      <w:r w:rsidRPr="007A22FF">
        <w:t xml:space="preserve"> </w:t>
      </w:r>
      <w:r>
        <w:t>is only effective if municipalities use the findings to revise</w:t>
      </w:r>
      <w:r w:rsidRPr="007A22FF">
        <w:t xml:space="preserve"> land use ord</w:t>
      </w:r>
      <w:r>
        <w:t xml:space="preserve">inances and/or inform future growth. If the analysis is not attached to a specific point in time, it may not provide a clear timeframe or sense of urgency for implementing changes. In some cases, </w:t>
      </w:r>
      <w:r w:rsidR="000723DE">
        <w:t>the analysis faces</w:t>
      </w:r>
      <w:r>
        <w:t xml:space="preserve"> a negative reaction because people </w:t>
      </w:r>
      <w:r w:rsidR="000723DE">
        <w:t>believe that a</w:t>
      </w:r>
      <w:r>
        <w:t xml:space="preserve"> full build-out </w:t>
      </w:r>
      <w:r w:rsidR="000723DE">
        <w:t xml:space="preserve">scenario </w:t>
      </w:r>
      <w:r>
        <w:t>will never actually occur.</w:t>
      </w:r>
    </w:p>
    <w:p w14:paraId="0E562185" w14:textId="123033AC" w:rsidR="002460BB" w:rsidRDefault="002460BB" w:rsidP="002460BB">
      <w:pPr>
        <w:pStyle w:val="BodyText"/>
        <w:rPr>
          <w:bCs/>
          <w:iCs/>
        </w:rPr>
      </w:pPr>
      <w:r>
        <w:rPr>
          <w:bCs/>
          <w:iCs/>
        </w:rPr>
        <w:lastRenderedPageBreak/>
        <w:t>While a build-out analysis can be conducted by people with no expertise or special tools, familiarity with fiscal</w:t>
      </w:r>
      <w:r w:rsidR="00B745AB">
        <w:rPr>
          <w:bCs/>
          <w:iCs/>
        </w:rPr>
        <w:t xml:space="preserve"> impact analysis and access to geographic information s</w:t>
      </w:r>
      <w:r>
        <w:rPr>
          <w:bCs/>
          <w:iCs/>
        </w:rPr>
        <w:t xml:space="preserve">ystem (GIS) software is extremely helpful. Municipalities or organizations with </w:t>
      </w:r>
      <w:r w:rsidR="00071C91">
        <w:rPr>
          <w:bCs/>
          <w:iCs/>
        </w:rPr>
        <w:t xml:space="preserve">minimal </w:t>
      </w:r>
      <w:r>
        <w:rPr>
          <w:bCs/>
          <w:iCs/>
        </w:rPr>
        <w:t>staff and resources may find the process to be more challenging. See “Conducting a Build-Out Analysis”</w:t>
      </w:r>
      <w:r w:rsidR="00071C91">
        <w:rPr>
          <w:bCs/>
          <w:iCs/>
        </w:rPr>
        <w:t xml:space="preserve"> below</w:t>
      </w:r>
      <w:r>
        <w:rPr>
          <w:bCs/>
          <w:iCs/>
        </w:rPr>
        <w:t xml:space="preserve"> for more information.</w:t>
      </w:r>
    </w:p>
    <w:p w14:paraId="4B7CAFEA" w14:textId="4B1D8C6A" w:rsidR="002460BB" w:rsidRPr="008E6947" w:rsidRDefault="002460BB" w:rsidP="002460BB">
      <w:pPr>
        <w:pStyle w:val="Heading1"/>
      </w:pPr>
      <w:bookmarkStart w:id="4" w:name="_Toc483321373"/>
      <w:bookmarkStart w:id="5" w:name="_Toc479763472"/>
      <w:r>
        <w:t>T</w:t>
      </w:r>
      <w:r w:rsidRPr="008E6947">
        <w:t xml:space="preserve">he </w:t>
      </w:r>
      <w:r>
        <w:t>B</w:t>
      </w:r>
      <w:r w:rsidRPr="008E6947">
        <w:t xml:space="preserve">asics of a </w:t>
      </w:r>
      <w:r>
        <w:t>B</w:t>
      </w:r>
      <w:r w:rsidRPr="008E6947">
        <w:t>uild-</w:t>
      </w:r>
      <w:r>
        <w:t>O</w:t>
      </w:r>
      <w:r w:rsidRPr="008E6947">
        <w:t xml:space="preserve">ut </w:t>
      </w:r>
      <w:r>
        <w:t>A</w:t>
      </w:r>
      <w:r w:rsidRPr="008E6947">
        <w:t>nalysis</w:t>
      </w:r>
      <w:bookmarkEnd w:id="4"/>
    </w:p>
    <w:p w14:paraId="09757861" w14:textId="77777777" w:rsidR="002460BB" w:rsidRDefault="002460BB" w:rsidP="002460BB">
      <w:pPr>
        <w:pStyle w:val="Heading2"/>
      </w:pPr>
      <w:bookmarkStart w:id="6" w:name="_Toc483321374"/>
      <w:r>
        <w:t>Two Phases</w:t>
      </w:r>
      <w:bookmarkEnd w:id="6"/>
    </w:p>
    <w:p w14:paraId="613C0F2C" w14:textId="0FF8F72E" w:rsidR="00245C0F" w:rsidRDefault="002460BB" w:rsidP="002460BB">
      <w:pPr>
        <w:pStyle w:val="BodyText"/>
      </w:pPr>
      <w:r w:rsidRPr="00A338D1">
        <w:t>There are typically two phases in c</w:t>
      </w:r>
      <w:r w:rsidR="00182ECD">
        <w:t>onducting a build-out analysis:</w:t>
      </w:r>
    </w:p>
    <w:p w14:paraId="36CCA6D7" w14:textId="08F0289D" w:rsidR="00245C0F" w:rsidRDefault="002460BB" w:rsidP="004134B6">
      <w:pPr>
        <w:pStyle w:val="BodyBullet"/>
      </w:pPr>
      <w:r w:rsidRPr="00A338D1">
        <w:t>Phase I visually depicts changes on a map</w:t>
      </w:r>
      <w:r>
        <w:t xml:space="preserve"> and measures additional housing units and non-residential square footage that could be built under existing zoning regulations</w:t>
      </w:r>
      <w:r w:rsidRPr="00A338D1">
        <w:t xml:space="preserve">. </w:t>
      </w:r>
    </w:p>
    <w:p w14:paraId="7A97E8F1" w14:textId="64294C9C" w:rsidR="002460BB" w:rsidRPr="00A338D1" w:rsidRDefault="002460BB" w:rsidP="004134B6">
      <w:pPr>
        <w:pStyle w:val="BodyBullet"/>
      </w:pPr>
      <w:r w:rsidRPr="00A338D1">
        <w:t xml:space="preserve">Phase II quantifies the impact of the </w:t>
      </w:r>
      <w:r>
        <w:t>additional development</w:t>
      </w:r>
      <w:r w:rsidRPr="00A338D1">
        <w:t xml:space="preserve">. A summary </w:t>
      </w:r>
      <w:r>
        <w:t>presents</w:t>
      </w:r>
      <w:r w:rsidRPr="00A338D1">
        <w:t xml:space="preserve"> the critical information and conclusions in an easy-to-understand way.  </w:t>
      </w:r>
    </w:p>
    <w:p w14:paraId="30D05F3C" w14:textId="5E047407" w:rsidR="002460BB" w:rsidRDefault="00860FB1" w:rsidP="002460BB">
      <w:pPr>
        <w:pStyle w:val="Heading2"/>
      </w:pPr>
      <w:bookmarkStart w:id="7" w:name="_Toc483321375"/>
      <w:r>
        <w:t>GIS</w:t>
      </w:r>
      <w:bookmarkEnd w:id="7"/>
    </w:p>
    <w:p w14:paraId="44E25A09" w14:textId="216A7643" w:rsidR="002460BB" w:rsidRPr="00A338D1" w:rsidRDefault="002460BB" w:rsidP="002460BB">
      <w:r w:rsidRPr="002460BB">
        <w:rPr>
          <w:rStyle w:val="BodyTextChar"/>
        </w:rPr>
        <w:t xml:space="preserve">Though not necessary, a </w:t>
      </w:r>
      <w:hyperlink r:id="rId8" w:history="1">
        <w:r w:rsidRPr="00C206C0">
          <w:rPr>
            <w:rStyle w:val="Hyperlink"/>
          </w:rPr>
          <w:t>geographic information system</w:t>
        </w:r>
      </w:hyperlink>
      <w:r w:rsidRPr="00A338D1">
        <w:t xml:space="preserve"> </w:t>
      </w:r>
      <w:r w:rsidRPr="002460BB">
        <w:rPr>
          <w:rStyle w:val="BodyTextChar"/>
        </w:rPr>
        <w:t xml:space="preserve">(GIS) is </w:t>
      </w:r>
      <w:r w:rsidR="00B745AB">
        <w:rPr>
          <w:rStyle w:val="BodyTextChar"/>
        </w:rPr>
        <w:t>often used to conduct an</w:t>
      </w:r>
      <w:r w:rsidRPr="002460BB">
        <w:rPr>
          <w:rStyle w:val="BodyTextChar"/>
        </w:rPr>
        <w:t xml:space="preserve"> analysis. GIS allows users to combine, manage, manipulate, and analyze data in ways that are difficult or impossible with traditional maps. GIS can be used to determine the number of additional dwelling units that coul</w:t>
      </w:r>
      <w:r w:rsidR="00B745AB">
        <w:rPr>
          <w:rStyle w:val="BodyTextChar"/>
        </w:rPr>
        <w:t>d be built on developable land</w:t>
      </w:r>
      <w:r w:rsidRPr="002460BB">
        <w:rPr>
          <w:rStyle w:val="BodyTextChar"/>
        </w:rPr>
        <w:t xml:space="preserve"> under the existing zoning regulations, or provide a model for electronically layering maps to let </w:t>
      </w:r>
      <w:r w:rsidR="00860FB1">
        <w:rPr>
          <w:rStyle w:val="BodyTextChar"/>
        </w:rPr>
        <w:t>viewers</w:t>
      </w:r>
      <w:r w:rsidRPr="002460BB">
        <w:rPr>
          <w:rStyle w:val="BodyTextChar"/>
        </w:rPr>
        <w:t xml:space="preserve"> easily visualize where development in a community might occur. Depending on the software, </w:t>
      </w:r>
      <w:r w:rsidR="00860FB1">
        <w:rPr>
          <w:rStyle w:val="BodyTextChar"/>
        </w:rPr>
        <w:t xml:space="preserve">analysts can then share </w:t>
      </w:r>
      <w:r w:rsidRPr="002460BB">
        <w:rPr>
          <w:rStyle w:val="BodyTextChar"/>
        </w:rPr>
        <w:t xml:space="preserve">this information </w:t>
      </w:r>
      <w:r w:rsidR="00860FB1">
        <w:rPr>
          <w:rStyle w:val="BodyTextChar"/>
        </w:rPr>
        <w:t>online</w:t>
      </w:r>
      <w:r w:rsidRPr="002460BB">
        <w:rPr>
          <w:rStyle w:val="BodyTextChar"/>
        </w:rPr>
        <w:t xml:space="preserve"> to be</w:t>
      </w:r>
      <w:r>
        <w:t xml:space="preserve"> </w:t>
      </w:r>
      <w:r w:rsidRPr="002460BB">
        <w:rPr>
          <w:rStyle w:val="BodyTextChar"/>
        </w:rPr>
        <w:t>viewed by anyone (including those without GIS software.)</w:t>
      </w:r>
      <w:r>
        <w:t xml:space="preserve"> </w:t>
      </w:r>
    </w:p>
    <w:p w14:paraId="3AA4F1EC" w14:textId="77777777" w:rsidR="002460BB" w:rsidRDefault="002460BB" w:rsidP="002460BB">
      <w:pPr>
        <w:pStyle w:val="Heading2"/>
      </w:pPr>
      <w:bookmarkStart w:id="8" w:name="_Toc483321376"/>
      <w:r>
        <w:t>Future Street Scenes</w:t>
      </w:r>
      <w:bookmarkEnd w:id="8"/>
    </w:p>
    <w:p w14:paraId="64E1BEBA" w14:textId="14921E6F" w:rsidR="002460BB" w:rsidRPr="002460BB" w:rsidRDefault="002460BB" w:rsidP="002460BB">
      <w:r w:rsidRPr="002460BB">
        <w:rPr>
          <w:rStyle w:val="BodyTextChar"/>
        </w:rPr>
        <w:t>If a community wants to take the analysis one step further, a graphic artist c</w:t>
      </w:r>
      <w:r w:rsidR="00860FB1">
        <w:rPr>
          <w:rStyle w:val="BodyTextChar"/>
        </w:rPr>
        <w:t>an</w:t>
      </w:r>
      <w:r w:rsidRPr="002460BB">
        <w:rPr>
          <w:rStyle w:val="BodyTextChar"/>
        </w:rPr>
        <w:t xml:space="preserve"> prepare sketches of possible future street scenes</w:t>
      </w:r>
      <w:r w:rsidR="004304DC">
        <w:rPr>
          <w:rStyle w:val="BodyTextChar"/>
        </w:rPr>
        <w:t xml:space="preserve"> based on Phase I results</w:t>
      </w:r>
      <w:r w:rsidRPr="002460BB">
        <w:rPr>
          <w:rStyle w:val="BodyTextChar"/>
        </w:rPr>
        <w:t xml:space="preserve">. </w:t>
      </w:r>
      <w:proofErr w:type="spellStart"/>
      <w:r w:rsidRPr="002460BB">
        <w:rPr>
          <w:rStyle w:val="BodyTextChar"/>
        </w:rPr>
        <w:t>CommunityViz</w:t>
      </w:r>
      <w:proofErr w:type="spellEnd"/>
      <w:r w:rsidRPr="002460BB">
        <w:rPr>
          <w:rStyle w:val="BodyTextChar"/>
        </w:rPr>
        <w:t>®, a GIS-based planning tool, also has the capability to construct street scenes. See the guide</w:t>
      </w:r>
      <w:r>
        <w:t xml:space="preserve"> </w:t>
      </w:r>
      <w:hyperlink r:id="rId9" w:history="1">
        <w:proofErr w:type="spellStart"/>
        <w:r w:rsidRPr="002460BB">
          <w:rPr>
            <w:rStyle w:val="Hyperlink"/>
            <w:i/>
          </w:rPr>
          <w:t>CommunityViz</w:t>
        </w:r>
        <w:proofErr w:type="spellEnd"/>
        <w:r w:rsidRPr="002460BB">
          <w:rPr>
            <w:rStyle w:val="Hyperlink"/>
            <w:i/>
          </w:rPr>
          <w:t>®</w:t>
        </w:r>
      </w:hyperlink>
      <w:r>
        <w:rPr>
          <w:i/>
        </w:rPr>
        <w:t xml:space="preserve"> </w:t>
      </w:r>
      <w:r w:rsidRPr="002460BB">
        <w:rPr>
          <w:rStyle w:val="BodyTextChar"/>
        </w:rPr>
        <w:t>for more information</w:t>
      </w:r>
      <w:r>
        <w:t>.</w:t>
      </w:r>
    </w:p>
    <w:p w14:paraId="435ED729" w14:textId="77777777" w:rsidR="002460BB" w:rsidRDefault="002460BB" w:rsidP="002460BB">
      <w:pPr>
        <w:pStyle w:val="Heading2"/>
      </w:pPr>
      <w:bookmarkStart w:id="9" w:name="_Toc483321377"/>
      <w:r>
        <w:lastRenderedPageBreak/>
        <w:t>Scale</w:t>
      </w:r>
      <w:bookmarkEnd w:id="9"/>
      <w:r>
        <w:t xml:space="preserve"> </w:t>
      </w:r>
    </w:p>
    <w:p w14:paraId="18117AA9" w14:textId="52C2C72B" w:rsidR="002460BB" w:rsidRDefault="002460BB" w:rsidP="002460BB">
      <w:pPr>
        <w:pStyle w:val="BodyText"/>
      </w:pPr>
      <w:r>
        <w:t xml:space="preserve">Users must determine the scale at which they will conduct the analysis. While more comprehensive analysis generates more accurate and detailed results, it also requires the investment of greater resources (both time and money), as well as more data inputs. </w:t>
      </w:r>
    </w:p>
    <w:p w14:paraId="6E7C8264" w14:textId="25A68639" w:rsidR="002460BB" w:rsidRDefault="002460BB" w:rsidP="002460BB">
      <w:pPr>
        <w:pStyle w:val="BodyText"/>
      </w:pPr>
      <w:r>
        <w:t>In</w:t>
      </w:r>
      <w:r w:rsidRPr="00C568C8">
        <w:t xml:space="preserve"> </w:t>
      </w:r>
      <w:r>
        <w:t>a</w:t>
      </w:r>
      <w:r w:rsidRPr="00C568C8">
        <w:t xml:space="preserve"> </w:t>
      </w:r>
      <w:r>
        <w:t>more comprehensive (micro-scale) analysis</w:t>
      </w:r>
      <w:r w:rsidRPr="00C568C8">
        <w:t>, each parcel</w:t>
      </w:r>
      <w:r>
        <w:t xml:space="preserve"> in the area</w:t>
      </w:r>
      <w:r w:rsidRPr="00C568C8">
        <w:t xml:space="preserve"> is analyzed</w:t>
      </w:r>
      <w:r>
        <w:t xml:space="preserve"> individually</w:t>
      </w:r>
      <w:r w:rsidRPr="00C568C8">
        <w:t xml:space="preserve"> to account for zoning requirements and </w:t>
      </w:r>
      <w:r>
        <w:t xml:space="preserve">actual </w:t>
      </w:r>
      <w:r w:rsidRPr="00C568C8">
        <w:t>physical constraints</w:t>
      </w:r>
      <w:r>
        <w:t>, producing the most accurate results. A simpler (but still generally accurate) approach involves estimating the physical constraints using parameters applied equally across the study area.</w:t>
      </w:r>
    </w:p>
    <w:p w14:paraId="41D7FA8A" w14:textId="45C964ED" w:rsidR="002460BB" w:rsidRDefault="002460BB" w:rsidP="002460BB">
      <w:pPr>
        <w:pStyle w:val="BodyText"/>
      </w:pPr>
      <w:r>
        <w:t xml:space="preserve">In </w:t>
      </w:r>
      <w:proofErr w:type="gramStart"/>
      <w:r>
        <w:t>a</w:t>
      </w:r>
      <w:proofErr w:type="gramEnd"/>
      <w:r>
        <w:t xml:space="preserve"> less comprehensive (large-scale) analysis,</w:t>
      </w:r>
      <w:r w:rsidRPr="00C568C8">
        <w:t xml:space="preserve"> parcels are </w:t>
      </w:r>
      <w:r w:rsidR="004134B6">
        <w:t xml:space="preserve">not </w:t>
      </w:r>
      <w:r w:rsidRPr="00C568C8">
        <w:t>analyzed</w:t>
      </w:r>
      <w:r w:rsidR="004134B6">
        <w:t xml:space="preserve"> individually; instead, they</w:t>
      </w:r>
      <w:r w:rsidRPr="00C568C8">
        <w:t xml:space="preserve"> </w:t>
      </w:r>
      <w:r w:rsidR="004134B6">
        <w:t>are categorized by zoning district or other criteria</w:t>
      </w:r>
      <w:r w:rsidR="00AC6F8E">
        <w:t>, and e</w:t>
      </w:r>
      <w:r w:rsidR="004134B6">
        <w:t xml:space="preserve">ach </w:t>
      </w:r>
      <w:r w:rsidR="00AC6F8E">
        <w:t xml:space="preserve">category is </w:t>
      </w:r>
      <w:r w:rsidR="004134B6">
        <w:t xml:space="preserve">evaluated as a whole. </w:t>
      </w:r>
      <w:r>
        <w:t>Although this approach is useful for those with limited resources and/or data availability, its accuracy and effectiveness depends</w:t>
      </w:r>
      <w:r w:rsidRPr="00C568C8">
        <w:t xml:space="preserve"> </w:t>
      </w:r>
      <w:r>
        <w:t xml:space="preserve">on how it is used. For example, this level of analysis </w:t>
      </w:r>
      <w:r w:rsidRPr="00C568C8">
        <w:t xml:space="preserve">will not allow a </w:t>
      </w:r>
      <w:r w:rsidR="00045262">
        <w:t>community</w:t>
      </w:r>
      <w:r w:rsidRPr="00C568C8">
        <w:t xml:space="preserve"> to know where </w:t>
      </w:r>
      <w:r>
        <w:t xml:space="preserve">exactly </w:t>
      </w:r>
      <w:r w:rsidRPr="00C568C8">
        <w:t xml:space="preserve">development can </w:t>
      </w:r>
      <w:r w:rsidRPr="00DF0D2F">
        <w:t xml:space="preserve">occur.  </w:t>
      </w:r>
    </w:p>
    <w:p w14:paraId="15B34884" w14:textId="4B3B4980" w:rsidR="002460BB" w:rsidRPr="00E2526A" w:rsidRDefault="002460BB" w:rsidP="002460BB">
      <w:pPr>
        <w:widowControl w:val="0"/>
        <w:autoSpaceDE w:val="0"/>
        <w:autoSpaceDN w:val="0"/>
        <w:adjustRightInd w:val="0"/>
        <w:rPr>
          <w:rFonts w:cs="Garamond"/>
        </w:rPr>
      </w:pPr>
      <w:r w:rsidRPr="002460BB">
        <w:rPr>
          <w:rStyle w:val="BodyTextChar"/>
        </w:rPr>
        <w:t>See the paper</w:t>
      </w:r>
      <w:r w:rsidRPr="00DF0D2F">
        <w:t xml:space="preserve"> “</w:t>
      </w:r>
      <w:hyperlink r:id="rId10" w:history="1">
        <w:r w:rsidRPr="00D06302">
          <w:rPr>
            <w:rStyle w:val="Hyperlink"/>
          </w:rPr>
          <w:t xml:space="preserve">Build-Out Analysis in GIS as a Planning Tool </w:t>
        </w:r>
        <w:proofErr w:type="gramStart"/>
        <w:r w:rsidRPr="00D06302">
          <w:rPr>
            <w:rStyle w:val="Hyperlink"/>
          </w:rPr>
          <w:t>With</w:t>
        </w:r>
        <w:proofErr w:type="gramEnd"/>
        <w:r w:rsidRPr="00D06302">
          <w:rPr>
            <w:rStyle w:val="Hyperlink"/>
          </w:rPr>
          <w:t xml:space="preserve"> a Demonstration for Roanoke County, Virginia</w:t>
        </w:r>
      </w:hyperlink>
      <w:r w:rsidRPr="00DF0D2F">
        <w:t>”</w:t>
      </w:r>
      <w:r>
        <w:t xml:space="preserve"> </w:t>
      </w:r>
      <w:r w:rsidRPr="002460BB">
        <w:rPr>
          <w:rStyle w:val="BodyTextChar"/>
        </w:rPr>
        <w:t xml:space="preserve">by Mary A. </w:t>
      </w:r>
      <w:proofErr w:type="spellStart"/>
      <w:r w:rsidRPr="002460BB">
        <w:rPr>
          <w:rStyle w:val="BodyTextChar"/>
        </w:rPr>
        <w:t>Zirkle</w:t>
      </w:r>
      <w:proofErr w:type="spellEnd"/>
      <w:r w:rsidRPr="002460BB">
        <w:rPr>
          <w:rStyle w:val="BodyTextChar"/>
        </w:rPr>
        <w:t xml:space="preserve"> for more information about scale.</w:t>
      </w:r>
    </w:p>
    <w:p w14:paraId="19F1B544" w14:textId="77777777" w:rsidR="002460BB" w:rsidRDefault="002460BB" w:rsidP="002460BB">
      <w:pPr>
        <w:pStyle w:val="Heading1"/>
      </w:pPr>
      <w:bookmarkStart w:id="10" w:name="_Toc483321378"/>
      <w:r>
        <w:t>Conducting a Build-Out Analysis</w:t>
      </w:r>
      <w:bookmarkEnd w:id="10"/>
    </w:p>
    <w:p w14:paraId="68C3A5DA" w14:textId="2AA3EDC5" w:rsidR="002460BB" w:rsidRDefault="004304DC" w:rsidP="002460BB">
      <w:pPr>
        <w:pStyle w:val="BodyText"/>
      </w:pPr>
      <w:r>
        <w:t xml:space="preserve">Community planners, engineers, or laypersons can conduct an analysis. </w:t>
      </w:r>
      <w:r w:rsidR="002460BB">
        <w:t>If a goal is to calculate fiscal impacts, f</w:t>
      </w:r>
      <w:r w:rsidR="002460BB" w:rsidRPr="007A22FF">
        <w:t>iscal impact expertise</w:t>
      </w:r>
      <w:r w:rsidR="002460BB">
        <w:t xml:space="preserve"> is desirable. Access to GIS software or GIS-based community planning tools like </w:t>
      </w:r>
      <w:hyperlink r:id="rId11" w:history="1">
        <w:proofErr w:type="spellStart"/>
        <w:r w:rsidR="002460BB" w:rsidRPr="000E6BEB">
          <w:rPr>
            <w:rStyle w:val="Hyperlink"/>
          </w:rPr>
          <w:t>CommunityViz</w:t>
        </w:r>
        <w:proofErr w:type="spellEnd"/>
      </w:hyperlink>
      <w:r w:rsidR="002460BB">
        <w:t>®, while not necessary, is helpful. Municipalities or organizations that lack the knowledge or time to conduct their own analysis may determine that hiring a consultant is the best strategy.</w:t>
      </w:r>
    </w:p>
    <w:p w14:paraId="3246A4BB" w14:textId="5B2A695B" w:rsidR="008D631B" w:rsidRPr="007A22FF" w:rsidRDefault="008D631B" w:rsidP="002460BB">
      <w:pPr>
        <w:pStyle w:val="BodyText"/>
      </w:pPr>
      <w:r>
        <w:t>This section describes the different approaches to analysis that a community can take.</w:t>
      </w:r>
    </w:p>
    <w:p w14:paraId="34BE8638" w14:textId="5095BB73" w:rsidR="002460BB" w:rsidRDefault="002460BB" w:rsidP="002460BB">
      <w:pPr>
        <w:pStyle w:val="Heading2"/>
      </w:pPr>
      <w:bookmarkStart w:id="11" w:name="_Toc483321379"/>
      <w:r>
        <w:t>Micro-Scale</w:t>
      </w:r>
      <w:r w:rsidR="00641A97">
        <w:t xml:space="preserve"> Analysis</w:t>
      </w:r>
      <w:bookmarkEnd w:id="11"/>
    </w:p>
    <w:p w14:paraId="0C2FED03" w14:textId="77777777" w:rsidR="002460BB" w:rsidRPr="007232B4" w:rsidRDefault="002460BB" w:rsidP="002460BB">
      <w:pPr>
        <w:pStyle w:val="Heading3"/>
      </w:pPr>
      <w:r>
        <w:t>Phase I</w:t>
      </w:r>
      <w:r w:rsidRPr="007232B4">
        <w:t xml:space="preserve">  </w:t>
      </w:r>
    </w:p>
    <w:p w14:paraId="25A43753" w14:textId="27156CC7" w:rsidR="002460BB" w:rsidRPr="00C30FFA" w:rsidRDefault="002460BB" w:rsidP="002460BB">
      <w:pPr>
        <w:pStyle w:val="BodyText"/>
      </w:pPr>
      <w:r>
        <w:t>First</w:t>
      </w:r>
      <w:r w:rsidRPr="00C30FFA">
        <w:t xml:space="preserve">, construct a base map of </w:t>
      </w:r>
      <w:r>
        <w:t>the specified area</w:t>
      </w:r>
      <w:r w:rsidRPr="00C30FFA">
        <w:t>. The base map should show the basics, such as:</w:t>
      </w:r>
    </w:p>
    <w:p w14:paraId="27EB3D93" w14:textId="419EBB3E" w:rsidR="002460BB" w:rsidRDefault="002460BB" w:rsidP="004A2E78">
      <w:pPr>
        <w:pStyle w:val="ListBullet"/>
      </w:pPr>
      <w:r>
        <w:lastRenderedPageBreak/>
        <w:t>the perimeter of the area</w:t>
      </w:r>
    </w:p>
    <w:p w14:paraId="06A602C1" w14:textId="77777777" w:rsidR="002460BB" w:rsidRDefault="002460BB" w:rsidP="00CE4EDF">
      <w:pPr>
        <w:pStyle w:val="ListBullet"/>
      </w:pPr>
      <w:r>
        <w:t xml:space="preserve">north arrow </w:t>
      </w:r>
    </w:p>
    <w:p w14:paraId="29C44B21" w14:textId="77777777" w:rsidR="002460BB" w:rsidRDefault="002460BB" w:rsidP="00CE4EDF">
      <w:pPr>
        <w:pStyle w:val="ListBullet"/>
      </w:pPr>
      <w:r>
        <w:t xml:space="preserve">scale of the map </w:t>
      </w:r>
    </w:p>
    <w:p w14:paraId="6A83007C" w14:textId="77777777" w:rsidR="002460BB" w:rsidRDefault="002460BB" w:rsidP="00CE4EDF">
      <w:pPr>
        <w:pStyle w:val="ListBullet"/>
      </w:pPr>
      <w:r>
        <w:t xml:space="preserve">existing roads </w:t>
      </w:r>
    </w:p>
    <w:p w14:paraId="3EB68A89" w14:textId="77777777" w:rsidR="002460BB" w:rsidRDefault="002460BB" w:rsidP="00CE4EDF">
      <w:pPr>
        <w:pStyle w:val="ListBullet"/>
      </w:pPr>
      <w:r>
        <w:t xml:space="preserve">surface water (lakes, rivers, streams) </w:t>
      </w:r>
    </w:p>
    <w:p w14:paraId="7BED7C69" w14:textId="5CD3DEBB" w:rsidR="002460BB" w:rsidRDefault="002460BB" w:rsidP="00CB6CC6">
      <w:pPr>
        <w:pStyle w:val="ListBullet"/>
      </w:pPr>
      <w:r>
        <w:t>zoning districts</w:t>
      </w:r>
      <w:r w:rsidR="006D2846">
        <w:t>.</w:t>
      </w:r>
      <w:bookmarkStart w:id="12" w:name="_GoBack"/>
      <w:bookmarkEnd w:id="12"/>
    </w:p>
    <w:p w14:paraId="60775901" w14:textId="77777777" w:rsidR="002460BB" w:rsidRPr="00C30FFA" w:rsidRDefault="002460BB" w:rsidP="002460BB">
      <w:pPr>
        <w:pStyle w:val="BodyText"/>
      </w:pPr>
      <w:r w:rsidRPr="00C30FFA">
        <w:t>The base map should</w:t>
      </w:r>
      <w:r>
        <w:t xml:space="preserve"> delineate land that:</w:t>
      </w:r>
    </w:p>
    <w:p w14:paraId="5D9E59EC" w14:textId="77777777" w:rsidR="002460BB" w:rsidRPr="00A80E39" w:rsidRDefault="002460BB" w:rsidP="002460BB">
      <w:pPr>
        <w:pStyle w:val="ListBullet"/>
      </w:pPr>
      <w:r w:rsidRPr="00A80E39">
        <w:t>cannot be developed due to public ownership, deed restrictions</w:t>
      </w:r>
      <w:r>
        <w:t>,</w:t>
      </w:r>
      <w:r w:rsidRPr="00A80E39">
        <w:t xml:space="preserve"> and utility easements.  </w:t>
      </w:r>
    </w:p>
    <w:p w14:paraId="1EEC956B" w14:textId="77777777" w:rsidR="002460BB" w:rsidRPr="00A80E39" w:rsidRDefault="002460BB" w:rsidP="002460BB">
      <w:pPr>
        <w:pStyle w:val="ListBullet"/>
      </w:pPr>
      <w:r w:rsidRPr="00A80E39">
        <w:t xml:space="preserve">cannot be developed due to </w:t>
      </w:r>
      <w:r>
        <w:t xml:space="preserve">environmental constraints </w:t>
      </w:r>
      <w:r w:rsidRPr="00A80E39">
        <w:t>such as wetlands, floodplains, or steep slopes</w:t>
      </w:r>
      <w:r>
        <w:t xml:space="preserve">. (Do not </w:t>
      </w:r>
      <w:r w:rsidRPr="00A80E39">
        <w:t xml:space="preserve">include steep slopes </w:t>
      </w:r>
      <w:r>
        <w:t>that</w:t>
      </w:r>
      <w:r w:rsidRPr="00A80E39">
        <w:t xml:space="preserve"> could be graded into developable land</w:t>
      </w:r>
      <w:r>
        <w:t>.</w:t>
      </w:r>
      <w:r w:rsidRPr="00A80E39">
        <w:t>) Some parcels may be partially developable, due to restrictions such as utility easements.</w:t>
      </w:r>
    </w:p>
    <w:p w14:paraId="752CE5D0" w14:textId="77777777" w:rsidR="002460BB" w:rsidRDefault="002460BB" w:rsidP="002460BB">
      <w:pPr>
        <w:pStyle w:val="ListBullet"/>
      </w:pPr>
      <w:r w:rsidRPr="00A80E39">
        <w:t xml:space="preserve">has already been developed with existing structures and lot lines. </w:t>
      </w:r>
    </w:p>
    <w:p w14:paraId="2C2F2A0D" w14:textId="19185332" w:rsidR="002460BB" w:rsidRPr="002460BB" w:rsidRDefault="002460BB" w:rsidP="002460BB">
      <w:pPr>
        <w:pStyle w:val="ListBullet"/>
        <w:rPr>
          <w:rStyle w:val="BodyTextChar"/>
          <w:rFonts w:eastAsia="Times New Roman"/>
        </w:rPr>
      </w:pPr>
      <w:r w:rsidRPr="00A80E39">
        <w:t>will be developed in the near future (indicate</w:t>
      </w:r>
      <w:r w:rsidR="004304DC">
        <w:t>d by building proposals</w:t>
      </w:r>
      <w:r w:rsidRPr="00A80E39">
        <w:t xml:space="preserve"> expected to be approved shortly, approved building proposals, and land under construction)</w:t>
      </w:r>
      <w:r>
        <w:t xml:space="preserve">. </w:t>
      </w:r>
      <w:r w:rsidR="004304DC">
        <w:t>Add this new development</w:t>
      </w:r>
      <w:r>
        <w:t xml:space="preserve"> to the new development estimated from the build-out analysis to determine the total number of new housing units and non-residential square footage. The total number of new housing units and non-residential square footage is used to determine future impacts.</w:t>
      </w:r>
    </w:p>
    <w:p w14:paraId="04F4CA7A" w14:textId="7A7D3AD4" w:rsidR="002460BB" w:rsidRDefault="002460BB" w:rsidP="002460BB">
      <w:r w:rsidRPr="002460BB">
        <w:rPr>
          <w:rStyle w:val="BodyTextChar"/>
        </w:rPr>
        <w:t xml:space="preserve">After </w:t>
      </w:r>
      <w:r w:rsidR="00860FB1">
        <w:rPr>
          <w:rStyle w:val="BodyTextChar"/>
        </w:rPr>
        <w:t xml:space="preserve">creating the base map, </w:t>
      </w:r>
      <w:r w:rsidRPr="002460BB">
        <w:rPr>
          <w:rStyle w:val="BodyTextChar"/>
        </w:rPr>
        <w:t xml:space="preserve">the next step is </w:t>
      </w:r>
      <w:r w:rsidR="00860FB1">
        <w:rPr>
          <w:rStyle w:val="BodyTextChar"/>
        </w:rPr>
        <w:t>to create</w:t>
      </w:r>
      <w:r w:rsidRPr="002460BB">
        <w:rPr>
          <w:rStyle w:val="BodyTextChar"/>
        </w:rPr>
        <w:t xml:space="preserve"> overlay maps that</w:t>
      </w:r>
      <w:r w:rsidR="004304DC">
        <w:rPr>
          <w:rStyle w:val="BodyTextChar"/>
        </w:rPr>
        <w:t xml:space="preserve"> show land that could</w:t>
      </w:r>
      <w:r w:rsidR="00B745AB">
        <w:rPr>
          <w:rStyle w:val="BodyTextChar"/>
        </w:rPr>
        <w:t xml:space="preserve"> be developed</w:t>
      </w:r>
      <w:r w:rsidRPr="002460BB">
        <w:rPr>
          <w:rStyle w:val="BodyTextChar"/>
        </w:rPr>
        <w:t xml:space="preserve"> further. Then</w:t>
      </w:r>
      <w:r w:rsidR="00860FB1">
        <w:rPr>
          <w:rStyle w:val="BodyTextChar"/>
        </w:rPr>
        <w:t>,</w:t>
      </w:r>
      <w:r w:rsidRPr="002460BB">
        <w:rPr>
          <w:rStyle w:val="BodyTextChar"/>
        </w:rPr>
        <w:t xml:space="preserve"> calculate what development may occur by applying the zoning regulations to the total acres developable. This will yield total buildable dwelling units and/or total buildable non-residential square feet by zoning district.</w:t>
      </w:r>
      <w:r w:rsidRPr="002E655B">
        <w:t xml:space="preserve">  </w:t>
      </w:r>
    </w:p>
    <w:p w14:paraId="3E085D1F" w14:textId="77777777" w:rsidR="002460BB" w:rsidRPr="002E655B" w:rsidRDefault="002460BB" w:rsidP="002460BB"/>
    <w:p w14:paraId="61E94DF2" w14:textId="77777777" w:rsidR="002460BB" w:rsidRPr="00A80E39" w:rsidRDefault="002460BB" w:rsidP="002460BB">
      <w:pPr>
        <w:pStyle w:val="ListBullet"/>
      </w:pPr>
      <w:r>
        <w:t xml:space="preserve">For land zoned residential, apply </w:t>
      </w:r>
      <w:r w:rsidRPr="00A80E39">
        <w:t>road standards and minimum lot size and frontage requirements as if the land was developed to the maximum extent allowable</w:t>
      </w:r>
      <w:r>
        <w:t>. Subtract 10% from the developable residential zoning districts to account for streets and infrastructure, with the remainder equaling the net total acres developable by zoning district.</w:t>
      </w:r>
    </w:p>
    <w:p w14:paraId="4E601507" w14:textId="149EA7AB" w:rsidR="002460BB" w:rsidRDefault="002460BB" w:rsidP="002460BB">
      <w:pPr>
        <w:pStyle w:val="ListBullet"/>
      </w:pPr>
      <w:r>
        <w:t>For land zoned commercial</w:t>
      </w:r>
      <w:r w:rsidR="00860FB1">
        <w:t>,</w:t>
      </w:r>
      <w:r>
        <w:t xml:space="preserve"> apply the largest amount of floor space allowed under the zoning regulations</w:t>
      </w:r>
      <w:r w:rsidR="00860FB1">
        <w:t>.</w:t>
      </w:r>
    </w:p>
    <w:p w14:paraId="57139EC2" w14:textId="6AFFC62D" w:rsidR="002460BB" w:rsidRPr="00593B00" w:rsidRDefault="002460BB" w:rsidP="002460BB">
      <w:pPr>
        <w:pStyle w:val="ListBullet"/>
      </w:pPr>
      <w:r w:rsidRPr="00593B00">
        <w:lastRenderedPageBreak/>
        <w:t xml:space="preserve">For a mixed-use district, assume the greatest percentage of non-residential uses and higher density residential uses permitted per development. </w:t>
      </w:r>
    </w:p>
    <w:p w14:paraId="26BE63ED" w14:textId="3A2F91FD" w:rsidR="002460BB" w:rsidRPr="002460BB" w:rsidRDefault="002460BB" w:rsidP="002460BB">
      <w:pPr>
        <w:pStyle w:val="BodyText"/>
      </w:pPr>
      <w:r w:rsidRPr="002460BB">
        <w:t xml:space="preserve">Communities with </w:t>
      </w:r>
      <w:r w:rsidR="00860FB1">
        <w:t xml:space="preserve">lots </w:t>
      </w:r>
      <w:r w:rsidRPr="002460BB">
        <w:t xml:space="preserve">of undeveloped or underdeveloped land may want to </w:t>
      </w:r>
      <w:r w:rsidR="00860FB1">
        <w:t xml:space="preserve">create </w:t>
      </w:r>
      <w:r w:rsidRPr="002460BB">
        <w:t xml:space="preserve">staggered overlays showing the possible progression of growth. For instance, the first </w:t>
      </w:r>
      <w:r w:rsidR="00860FB1">
        <w:t xml:space="preserve">overlay </w:t>
      </w:r>
      <w:r w:rsidRPr="002460BB">
        <w:t xml:space="preserve">might show growth along major roads and on large parcels. </w:t>
      </w:r>
      <w:r w:rsidR="00860FB1">
        <w:t xml:space="preserve">The next </w:t>
      </w:r>
      <w:r w:rsidRPr="002460BB">
        <w:t>might show growth on the next most desirable parcels. The last could show growth on the least desirable parcels.</w:t>
      </w:r>
    </w:p>
    <w:p w14:paraId="710C40B4" w14:textId="77777777" w:rsidR="002460BB" w:rsidRDefault="002460BB" w:rsidP="002460BB">
      <w:pPr>
        <w:pStyle w:val="Heading3"/>
      </w:pPr>
      <w:r>
        <w:t xml:space="preserve">Phase II </w:t>
      </w:r>
    </w:p>
    <w:p w14:paraId="7E1B2FC6" w14:textId="02CF9E0D" w:rsidR="002460BB" w:rsidRDefault="002460BB" w:rsidP="00B745AB">
      <w:pPr>
        <w:pStyle w:val="BodyText"/>
      </w:pPr>
      <w:r>
        <w:t xml:space="preserve">Phase II is a quantitative analysis of the impact of the changes detailed in Phase I. </w:t>
      </w:r>
      <w:r w:rsidR="00860FB1">
        <w:t>Impacts</w:t>
      </w:r>
      <w:r>
        <w:t xml:space="preserve"> to calculate might include changes in:</w:t>
      </w:r>
    </w:p>
    <w:p w14:paraId="7404BED4" w14:textId="1F0450AA" w:rsidR="002460BB" w:rsidRPr="00AA7E7A" w:rsidRDefault="00860FB1" w:rsidP="00B745AB">
      <w:pPr>
        <w:pStyle w:val="ListBullet"/>
      </w:pPr>
      <w:r>
        <w:t xml:space="preserve">the </w:t>
      </w:r>
      <w:r w:rsidR="002460BB" w:rsidRPr="00AA7E7A">
        <w:t>amount of impermeable surface, which impacts water quality</w:t>
      </w:r>
    </w:p>
    <w:p w14:paraId="7519CD9D" w14:textId="77777777" w:rsidR="002460BB" w:rsidRDefault="002460BB" w:rsidP="00B745AB">
      <w:pPr>
        <w:pStyle w:val="ListBullet"/>
      </w:pPr>
      <w:r w:rsidRPr="00AA7E7A">
        <w:t xml:space="preserve">acreage farmed </w:t>
      </w:r>
    </w:p>
    <w:p w14:paraId="79F1F0F3" w14:textId="77777777" w:rsidR="002460BB" w:rsidRPr="00AA7E7A" w:rsidRDefault="002460BB" w:rsidP="00B745AB">
      <w:pPr>
        <w:pStyle w:val="ListBullet"/>
      </w:pPr>
      <w:r>
        <w:t>jobs</w:t>
      </w:r>
    </w:p>
    <w:p w14:paraId="51B5904A" w14:textId="77777777" w:rsidR="002460BB" w:rsidRPr="00AA7E7A" w:rsidRDefault="002460BB" w:rsidP="00B745AB">
      <w:pPr>
        <w:pStyle w:val="ListBullet"/>
      </w:pPr>
      <w:r w:rsidRPr="00AA7E7A">
        <w:t>population/number of school-age children</w:t>
      </w:r>
    </w:p>
    <w:p w14:paraId="3D6D4405" w14:textId="77777777" w:rsidR="002460BB" w:rsidRPr="00AA7E7A" w:rsidRDefault="002460BB" w:rsidP="00B745AB">
      <w:pPr>
        <w:pStyle w:val="ListBullet"/>
      </w:pPr>
      <w:r w:rsidRPr="00AA7E7A">
        <w:t xml:space="preserve">housing units/housing density </w:t>
      </w:r>
    </w:p>
    <w:p w14:paraId="23D74531" w14:textId="77777777" w:rsidR="002460BB" w:rsidRPr="00AA7E7A" w:rsidRDefault="002460BB" w:rsidP="00B745AB">
      <w:pPr>
        <w:pStyle w:val="ListBullet"/>
      </w:pPr>
      <w:r w:rsidRPr="00AA7E7A">
        <w:t xml:space="preserve">traffic </w:t>
      </w:r>
    </w:p>
    <w:p w14:paraId="14862652" w14:textId="77777777" w:rsidR="002460BB" w:rsidRPr="00AA7E7A" w:rsidRDefault="002460BB" w:rsidP="00B745AB">
      <w:pPr>
        <w:pStyle w:val="ListBullet"/>
      </w:pPr>
      <w:r w:rsidRPr="00AA7E7A">
        <w:t xml:space="preserve">tax revenues </w:t>
      </w:r>
    </w:p>
    <w:p w14:paraId="7978D022" w14:textId="77777777" w:rsidR="002460BB" w:rsidRDefault="002460BB" w:rsidP="00B745AB">
      <w:pPr>
        <w:pStyle w:val="ListBullet"/>
      </w:pPr>
      <w:r w:rsidRPr="00AA7E7A">
        <w:t>demands on schools, water supply, sewage, electrical production, police force, etc.</w:t>
      </w:r>
    </w:p>
    <w:p w14:paraId="2AD598F8" w14:textId="5FDD0D7A" w:rsidR="002460BB" w:rsidRDefault="00860FB1" w:rsidP="002460BB">
      <w:pPr>
        <w:pStyle w:val="BodyText"/>
      </w:pPr>
      <w:r>
        <w:t>Convert t</w:t>
      </w:r>
      <w:r w:rsidR="002460BB">
        <w:t>he number of additional</w:t>
      </w:r>
      <w:r>
        <w:t xml:space="preserve"> dwelling units to population </w:t>
      </w:r>
      <w:r w:rsidR="002460BB">
        <w:t>based on current or projected household sizes per municipality</w:t>
      </w:r>
      <w:r>
        <w:t>. Convert</w:t>
      </w:r>
      <w:r w:rsidR="002460BB">
        <w:t xml:space="preserve"> the number of additional non-residential square feet to employees based on employment generation standards from </w:t>
      </w:r>
      <w:r w:rsidR="002460BB" w:rsidRPr="00FF6CE3">
        <w:rPr>
          <w:i/>
        </w:rPr>
        <w:t>The Fiscal Impact Handbook</w:t>
      </w:r>
      <w:r w:rsidR="002460BB">
        <w:t xml:space="preserve"> by Robert W. </w:t>
      </w:r>
      <w:proofErr w:type="spellStart"/>
      <w:r w:rsidR="002460BB">
        <w:t>Burchell</w:t>
      </w:r>
      <w:proofErr w:type="spellEnd"/>
      <w:r w:rsidR="002460BB">
        <w:t xml:space="preserve"> and David </w:t>
      </w:r>
      <w:proofErr w:type="spellStart"/>
      <w:r w:rsidR="002460BB">
        <w:t>Listokin</w:t>
      </w:r>
      <w:proofErr w:type="spellEnd"/>
      <w:r w:rsidR="002460BB">
        <w:t>.</w:t>
      </w:r>
    </w:p>
    <w:p w14:paraId="5F5A3C3B" w14:textId="0E42CB11" w:rsidR="002460BB" w:rsidRDefault="002460BB" w:rsidP="002460BB">
      <w:pPr>
        <w:pStyle w:val="BodyText"/>
      </w:pPr>
      <w:r>
        <w:t>The following standards can be applied to a district’s most prominent uses:</w:t>
      </w:r>
    </w:p>
    <w:p w14:paraId="23C590FB" w14:textId="6CE87194" w:rsidR="002460BB" w:rsidRPr="00FB7102" w:rsidRDefault="002460BB" w:rsidP="00B745AB">
      <w:pPr>
        <w:pStyle w:val="ListBullet"/>
      </w:pPr>
      <w:r>
        <w:t xml:space="preserve">Shopping Centers: </w:t>
      </w:r>
      <w:r w:rsidR="000723DE">
        <w:t>1</w:t>
      </w:r>
      <w:r w:rsidR="00B745AB">
        <w:t xml:space="preserve"> employee per </w:t>
      </w:r>
      <w:r w:rsidRPr="00FB7102">
        <w:t xml:space="preserve">500 SF </w:t>
      </w:r>
      <w:r>
        <w:t>g</w:t>
      </w:r>
      <w:r w:rsidRPr="00FB7102">
        <w:t>ross leasable area</w:t>
      </w:r>
    </w:p>
    <w:p w14:paraId="6D57B616" w14:textId="336561A6" w:rsidR="002460BB" w:rsidRPr="00FB7102" w:rsidRDefault="002460BB" w:rsidP="00B745AB">
      <w:pPr>
        <w:pStyle w:val="ListBullet"/>
      </w:pPr>
      <w:r>
        <w:t xml:space="preserve">Offices: </w:t>
      </w:r>
      <w:r w:rsidR="00B745AB">
        <w:t xml:space="preserve">1 employee per </w:t>
      </w:r>
      <w:r w:rsidR="0011355A">
        <w:t>250 SF</w:t>
      </w:r>
      <w:r>
        <w:t xml:space="preserve"> </w:t>
      </w:r>
      <w:r w:rsidRPr="00FB7102">
        <w:t>net leasable area</w:t>
      </w:r>
    </w:p>
    <w:p w14:paraId="58F16014" w14:textId="5BBADA84" w:rsidR="002460BB" w:rsidRPr="00FB7102" w:rsidRDefault="002460BB" w:rsidP="00B745AB">
      <w:pPr>
        <w:pStyle w:val="ListBullet"/>
      </w:pPr>
      <w:r>
        <w:t xml:space="preserve">Industrial Plants: </w:t>
      </w:r>
      <w:r w:rsidRPr="00FB7102">
        <w:t xml:space="preserve">1 employee per 300 SF </w:t>
      </w:r>
      <w:r>
        <w:t>net leasable area</w:t>
      </w:r>
    </w:p>
    <w:p w14:paraId="4FD31334" w14:textId="01956F1A" w:rsidR="002460BB" w:rsidRDefault="002460BB" w:rsidP="00B745AB">
      <w:pPr>
        <w:pStyle w:val="ListBullet"/>
      </w:pPr>
      <w:r w:rsidRPr="00FB7102">
        <w:t>Warehou</w:t>
      </w:r>
      <w:r>
        <w:t xml:space="preserve">ses: </w:t>
      </w:r>
      <w:r w:rsidRPr="00FB7102">
        <w:t xml:space="preserve">1 employee per 750 SF </w:t>
      </w:r>
      <w:r>
        <w:t>gross leasable area</w:t>
      </w:r>
      <w:r w:rsidR="006D2846">
        <w:t>.</w:t>
      </w:r>
    </w:p>
    <w:p w14:paraId="6F948CC7" w14:textId="77777777" w:rsidR="002460BB" w:rsidRDefault="002460BB" w:rsidP="002460BB">
      <w:pPr>
        <w:pStyle w:val="Heading3"/>
      </w:pPr>
      <w:r>
        <w:t>Additional Impact Analysis</w:t>
      </w:r>
    </w:p>
    <w:p w14:paraId="30E994CC" w14:textId="56C61644" w:rsidR="002460BB" w:rsidRDefault="00D524A9" w:rsidP="002460BB">
      <w:pPr>
        <w:pStyle w:val="BodyText"/>
        <w:spacing w:after="0"/>
      </w:pPr>
      <w:r>
        <w:t xml:space="preserve">Depending on the priorities and capacity of the community, additional analysis may be pursued. </w:t>
      </w:r>
      <w:r w:rsidR="0093313F">
        <w:t xml:space="preserve">For </w:t>
      </w:r>
      <w:r w:rsidR="0093313F">
        <w:lastRenderedPageBreak/>
        <w:t>example, the community might investigate the impacts of</w:t>
      </w:r>
      <w:r w:rsidR="002460BB">
        <w:t>:</w:t>
      </w:r>
    </w:p>
    <w:p w14:paraId="0BFE1C2C" w14:textId="4756DE3E" w:rsidR="002460BB" w:rsidRDefault="002460BB" w:rsidP="00B745AB">
      <w:pPr>
        <w:pStyle w:val="ListBullet"/>
      </w:pPr>
      <w:r>
        <w:t>allowable building heights on scenic views</w:t>
      </w:r>
    </w:p>
    <w:p w14:paraId="2E8B7118" w14:textId="1031FEE8" w:rsidR="002460BB" w:rsidRDefault="0093313F" w:rsidP="00B745AB">
      <w:pPr>
        <w:pStyle w:val="ListBullet"/>
      </w:pPr>
      <w:r>
        <w:t xml:space="preserve">development </w:t>
      </w:r>
      <w:r w:rsidR="002460BB">
        <w:t xml:space="preserve">on noise levels </w:t>
      </w:r>
    </w:p>
    <w:p w14:paraId="2A304DD1" w14:textId="6A98C39E" w:rsidR="002460BB" w:rsidRDefault="00641A97" w:rsidP="00B745AB">
      <w:pPr>
        <w:pStyle w:val="ListBullet"/>
      </w:pPr>
      <w:r>
        <w:t xml:space="preserve">increased automobile use on </w:t>
      </w:r>
      <w:r w:rsidR="002460BB">
        <w:t xml:space="preserve">parking needs and </w:t>
      </w:r>
      <w:r w:rsidR="00AC6F8E">
        <w:t>resulting</w:t>
      </w:r>
      <w:r w:rsidR="002460BB">
        <w:t xml:space="preserve"> spillover parking onto streets or other parking lots</w:t>
      </w:r>
      <w:r w:rsidR="006D2846">
        <w:t>.</w:t>
      </w:r>
    </w:p>
    <w:p w14:paraId="1A261FAC" w14:textId="0725D127" w:rsidR="002460BB" w:rsidRDefault="002460BB" w:rsidP="002460BB">
      <w:pPr>
        <w:pStyle w:val="Heading2"/>
      </w:pPr>
      <w:bookmarkStart w:id="13" w:name="_Toc483321380"/>
      <w:r>
        <w:t>Large-Scale</w:t>
      </w:r>
      <w:r w:rsidR="00641A97">
        <w:t xml:space="preserve"> Analysis</w:t>
      </w:r>
      <w:bookmarkEnd w:id="13"/>
    </w:p>
    <w:p w14:paraId="4399CDAB" w14:textId="77777777" w:rsidR="002460BB" w:rsidRDefault="002460BB" w:rsidP="002460BB">
      <w:pPr>
        <w:pStyle w:val="BodyText"/>
      </w:pPr>
      <w:r>
        <w:t xml:space="preserve">A large-scale build-out analysis is typically constructed using GIS to determine the number of additional dwelling units and non-residential square feet that could be built on developable land in the study area under the existing zoning regulations. </w:t>
      </w:r>
    </w:p>
    <w:p w14:paraId="7E73FE32" w14:textId="77777777" w:rsidR="002460BB" w:rsidRDefault="002460BB" w:rsidP="002460BB">
      <w:pPr>
        <w:pStyle w:val="Heading3"/>
      </w:pPr>
      <w:r>
        <w:t>Phase I</w:t>
      </w:r>
    </w:p>
    <w:p w14:paraId="2F70AFA0" w14:textId="77777777" w:rsidR="00FF4D63" w:rsidRDefault="002460BB" w:rsidP="002460BB">
      <w:pPr>
        <w:pStyle w:val="BodyText"/>
      </w:pPr>
      <w:r>
        <w:t>First, gather GIS data sets, including parcel data, land use, environmental constraints such as floodplains and wetlands, and zoning districts. Calculate the</w:t>
      </w:r>
      <w:r w:rsidR="00AC6F8E">
        <w:t xml:space="preserve"> </w:t>
      </w:r>
      <w:r>
        <w:t>acreage of developable land</w:t>
      </w:r>
      <w:r>
        <w:rPr>
          <w:rStyle w:val="FootnoteReference"/>
        </w:rPr>
        <w:footnoteReference w:id="1"/>
      </w:r>
      <w:r>
        <w:t xml:space="preserve"> by zoning district. Then, </w:t>
      </w:r>
      <w:r w:rsidR="00FC37CC">
        <w:t xml:space="preserve">for each zoning district, </w:t>
      </w:r>
      <w:r>
        <w:t>subtract</w:t>
      </w:r>
      <w:r w:rsidR="00FF4D63">
        <w:t xml:space="preserve">: </w:t>
      </w:r>
    </w:p>
    <w:p w14:paraId="3F315076" w14:textId="74D88A63" w:rsidR="00FF4D63" w:rsidRDefault="00FC37CC" w:rsidP="00767F34">
      <w:pPr>
        <w:pStyle w:val="BodyBullet"/>
      </w:pPr>
      <w:r>
        <w:t xml:space="preserve">the acreage of </w:t>
      </w:r>
      <w:r w:rsidR="002460BB">
        <w:t>environmentally constrained land</w:t>
      </w:r>
      <w:r w:rsidR="002460BB">
        <w:rPr>
          <w:rStyle w:val="FootnoteReference"/>
        </w:rPr>
        <w:footnoteReference w:id="2"/>
      </w:r>
      <w:r w:rsidR="002460BB">
        <w:t xml:space="preserve"> from the developable acres</w:t>
      </w:r>
    </w:p>
    <w:p w14:paraId="1A0DE20B" w14:textId="78F359E4" w:rsidR="00FF4D63" w:rsidRDefault="00FF4D63" w:rsidP="00767F34">
      <w:pPr>
        <w:pStyle w:val="BodyBullet"/>
      </w:pPr>
      <w:r>
        <w:t>land where development is in progress, or a development application has been approved</w:t>
      </w:r>
    </w:p>
    <w:p w14:paraId="21C00A5A" w14:textId="5DBE3662" w:rsidR="00FF4D63" w:rsidRDefault="00FF4D63" w:rsidP="001042A6">
      <w:pPr>
        <w:pStyle w:val="BodyBullet"/>
      </w:pPr>
      <w:r>
        <w:t>in residential zones, an</w:t>
      </w:r>
      <w:r w:rsidR="002460BB">
        <w:t xml:space="preserve"> additional 10% to account for streets and infrastructure. </w:t>
      </w:r>
    </w:p>
    <w:p w14:paraId="42EBC5A4" w14:textId="108A392C" w:rsidR="002460BB" w:rsidRDefault="002460BB">
      <w:pPr>
        <w:pStyle w:val="BodyText"/>
      </w:pPr>
      <w:r>
        <w:t>The remainder</w:t>
      </w:r>
      <w:r w:rsidR="0058662B">
        <w:t>s are</w:t>
      </w:r>
      <w:r>
        <w:t xml:space="preserve"> the net total acres developable by zoning district. </w:t>
      </w:r>
    </w:p>
    <w:p w14:paraId="6A09F99F" w14:textId="5A31A280" w:rsidR="002460BB" w:rsidRDefault="002460BB" w:rsidP="002460BB">
      <w:pPr>
        <w:pStyle w:val="BodyText"/>
      </w:pPr>
      <w:r>
        <w:t>Apply the particular zoning regulations of each district</w:t>
      </w:r>
      <w:r w:rsidR="000723DE">
        <w:t xml:space="preserve"> to </w:t>
      </w:r>
      <w:r w:rsidR="005443A1">
        <w:t>the net total acres for that district to determine the</w:t>
      </w:r>
      <w:r>
        <w:t xml:space="preserve"> total buildable dwelling units and total buildable non-residential square feet. This requires many assumptions in interpreting the zoning regulations; for example, in a mixed</w:t>
      </w:r>
      <w:r w:rsidR="00903257">
        <w:t>-</w:t>
      </w:r>
      <w:r>
        <w:t>use district, assume the greatest percentage of non-residential uses and higher density residential uses permitted per development.</w:t>
      </w:r>
      <w:r w:rsidR="00FF4D63">
        <w:t xml:space="preserve"> </w:t>
      </w:r>
      <w:r w:rsidR="00903257">
        <w:t>Then, add the actual data from land</w:t>
      </w:r>
      <w:r w:rsidR="00FF4D63">
        <w:t xml:space="preserve"> where developm</w:t>
      </w:r>
      <w:r w:rsidR="00903257">
        <w:t>ent is in progress or approved (</w:t>
      </w:r>
      <w:r w:rsidR="00FF4D63">
        <w:t>if available</w:t>
      </w:r>
      <w:r w:rsidR="00903257">
        <w:t>)</w:t>
      </w:r>
      <w:r w:rsidR="00FF4D63">
        <w:t>.</w:t>
      </w:r>
    </w:p>
    <w:p w14:paraId="1BBA28D3" w14:textId="77777777" w:rsidR="002460BB" w:rsidRDefault="002460BB" w:rsidP="002460BB">
      <w:pPr>
        <w:pStyle w:val="BodyText"/>
      </w:pPr>
      <w:r>
        <w:lastRenderedPageBreak/>
        <w:t>To calculate the achievable Floor Area Ratio (FAR), which is often different than the permitted FAR, use the formula:</w:t>
      </w:r>
    </w:p>
    <w:p w14:paraId="794E94D4" w14:textId="35FE737E" w:rsidR="001042A6" w:rsidRPr="001042A6" w:rsidRDefault="00AC6F8E" w:rsidP="00C82FD2">
      <w:pPr>
        <w:rPr>
          <w:rFonts w:eastAsia="Calibri"/>
          <w:sz w:val="28"/>
          <w:szCs w:val="28"/>
        </w:rPr>
      </w:pPr>
      <m:oMathPara>
        <m:oMath>
          <m:r>
            <w:rPr>
              <w:rFonts w:ascii="Cambria Math" w:hAnsi="Cambria Math"/>
              <w:sz w:val="28"/>
              <w:szCs w:val="28"/>
            </w:rPr>
            <m:t>FAR=</m:t>
          </m:r>
          <m:f>
            <m:fPr>
              <m:ctrlPr>
                <w:rPr>
                  <w:rFonts w:ascii="Cambria Math" w:hAnsi="Cambria Math"/>
                  <w:i/>
                  <w:sz w:val="28"/>
                  <w:szCs w:val="28"/>
                </w:rPr>
              </m:ctrlPr>
            </m:fPr>
            <m:num>
              <m:r>
                <w:rPr>
                  <w:rFonts w:ascii="Cambria Math" w:hAnsi="Cambria Math"/>
                  <w:sz w:val="28"/>
                  <w:szCs w:val="28"/>
                </w:rPr>
                <m:t>Impervious Coverage Ratio</m:t>
              </m:r>
            </m:num>
            <m:den>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 of stories</m:t>
                  </m:r>
                </m:den>
              </m:f>
              <m:r>
                <w:rPr>
                  <w:rFonts w:ascii="Cambria Math" w:hAnsi="Cambria Math"/>
                  <w:sz w:val="28"/>
                  <w:szCs w:val="28"/>
                </w:rPr>
                <m:t xml:space="preserve"> + </m:t>
              </m:r>
              <m:f>
                <m:fPr>
                  <m:ctrlPr>
                    <w:rPr>
                      <w:rFonts w:ascii="Cambria Math" w:hAnsi="Cambria Math"/>
                      <w:i/>
                      <w:sz w:val="28"/>
                      <w:szCs w:val="28"/>
                    </w:rPr>
                  </m:ctrlPr>
                </m:fPr>
                <m:num>
                  <m:r>
                    <w:rPr>
                      <w:rFonts w:ascii="Cambria Math" w:hAnsi="Cambria Math"/>
                      <w:sz w:val="28"/>
                      <w:szCs w:val="28"/>
                    </w:rPr>
                    <m:t>400 SF</m:t>
                  </m:r>
                </m:num>
                <m:den>
                  <m:r>
                    <w:rPr>
                      <w:rFonts w:ascii="Cambria Math" w:hAnsi="Cambria Math"/>
                      <w:sz w:val="28"/>
                      <w:szCs w:val="28"/>
                    </w:rPr>
                    <m:t>Parking Ratio</m:t>
                  </m:r>
                </m:den>
              </m:f>
            </m:den>
          </m:f>
        </m:oMath>
      </m:oMathPara>
    </w:p>
    <w:p w14:paraId="706CA560" w14:textId="77777777" w:rsidR="006966C0" w:rsidRPr="007E0073" w:rsidRDefault="006966C0" w:rsidP="007E0073">
      <w:pPr>
        <w:rPr>
          <w:rFonts w:eastAsia="Calibri"/>
          <w:sz w:val="10"/>
          <w:szCs w:val="10"/>
        </w:rPr>
      </w:pPr>
    </w:p>
    <w:p w14:paraId="36D9D61B" w14:textId="17F6C191" w:rsidR="002460BB" w:rsidRDefault="002460BB" w:rsidP="00B745AB">
      <w:pPr>
        <w:pStyle w:val="BodyText"/>
      </w:pPr>
      <w:r w:rsidRPr="000723DE">
        <w:rPr>
          <w:rStyle w:val="Heading4Char"/>
          <w:rFonts w:eastAsia="Calibri"/>
        </w:rPr>
        <w:t>Impervious Coverage Ratio</w:t>
      </w:r>
      <w:r>
        <w:t>: The maximum percentage of the site that may be covered by impervious surfaces (buildings, parking lots, driveways, etc</w:t>
      </w:r>
      <w:r w:rsidR="00376646">
        <w:t>.</w:t>
      </w:r>
      <w:r>
        <w:t>) stated in the zoning ordinance.</w:t>
      </w:r>
    </w:p>
    <w:p w14:paraId="7EF4F87E" w14:textId="4AD41861" w:rsidR="002460BB" w:rsidRDefault="002460BB" w:rsidP="00B745AB">
      <w:pPr>
        <w:pStyle w:val="BodyText"/>
      </w:pPr>
      <w:r w:rsidRPr="000723DE">
        <w:rPr>
          <w:rStyle w:val="Heading4Char"/>
          <w:rFonts w:eastAsia="Calibri"/>
        </w:rPr>
        <w:t>Number of Stories</w:t>
      </w:r>
      <w:r>
        <w:t>: Manufacturing and warehousing</w:t>
      </w:r>
      <w:r w:rsidR="000723DE">
        <w:t>-</w:t>
      </w:r>
      <w:r>
        <w:t xml:space="preserve"> type uses are always assumed to be built as one story. Likewise, retail is assumed to consume one floor only. Generally, only offices are likely to be built on more than one story, for which the maximum number of stories permitted, stated in the ordinance, shoul</w:t>
      </w:r>
      <w:r w:rsidR="00B745AB">
        <w:t>d be used.</w:t>
      </w:r>
    </w:p>
    <w:p w14:paraId="41E98596" w14:textId="2DE990E5" w:rsidR="002460BB" w:rsidRDefault="002460BB" w:rsidP="00B745AB">
      <w:pPr>
        <w:pStyle w:val="BodyText"/>
      </w:pPr>
      <w:r w:rsidRPr="000723DE">
        <w:rPr>
          <w:rStyle w:val="Heading4Char"/>
          <w:rFonts w:eastAsia="Calibri"/>
        </w:rPr>
        <w:t>400 SF</w:t>
      </w:r>
      <w:r w:rsidR="00DE68A1">
        <w:rPr>
          <w:rStyle w:val="Heading4Char"/>
          <w:rFonts w:eastAsia="Calibri"/>
        </w:rPr>
        <w:t xml:space="preserve"> (square feet)</w:t>
      </w:r>
      <w:r>
        <w:t>: A standard amount of impervious coverage per parking space, aisle,</w:t>
      </w:r>
      <w:r w:rsidR="00B745AB">
        <w:t xml:space="preserve"> and associated driveway space.</w:t>
      </w:r>
    </w:p>
    <w:p w14:paraId="16F76ACE" w14:textId="7FAABDFA" w:rsidR="002460BB" w:rsidRDefault="00B745AB" w:rsidP="00A17B86">
      <w:pPr>
        <w:pStyle w:val="BodyText"/>
      </w:pPr>
      <w:r w:rsidRPr="000723DE">
        <w:rPr>
          <w:rStyle w:val="Heading4Char"/>
          <w:rFonts w:eastAsia="Calibri"/>
        </w:rPr>
        <w:t>Parking R</w:t>
      </w:r>
      <w:r w:rsidR="002460BB" w:rsidRPr="000723DE">
        <w:rPr>
          <w:rStyle w:val="Heading4Char"/>
          <w:rFonts w:eastAsia="Calibri"/>
        </w:rPr>
        <w:t>atio</w:t>
      </w:r>
      <w:r w:rsidR="002460BB">
        <w:t>: The ratio stated in the zoning ordinance per gross square feet of building space. For example, a common parking ratio r</w:t>
      </w:r>
      <w:r w:rsidR="000723DE">
        <w:t>equirement for office use is one</w:t>
      </w:r>
      <w:r w:rsidR="002460BB">
        <w:t xml:space="preserve"> space per 200 SF of building space. The parking ratio in this case wo</w:t>
      </w:r>
      <w:r w:rsidR="000723DE">
        <w:t>uld be 200, meaning 200 SF per one</w:t>
      </w:r>
      <w:r w:rsidR="00A17B86">
        <w:t xml:space="preserve"> parking space.</w:t>
      </w:r>
    </w:p>
    <w:p w14:paraId="546D4AFD" w14:textId="77777777" w:rsidR="002460BB" w:rsidRDefault="002460BB" w:rsidP="002460BB">
      <w:pPr>
        <w:pStyle w:val="Heading3"/>
      </w:pPr>
      <w:r>
        <w:t>Phase II and Additional Impact Analysis</w:t>
      </w:r>
    </w:p>
    <w:p w14:paraId="7FE2B3D5" w14:textId="59CC1239" w:rsidR="002460BB" w:rsidRDefault="00A17B86" w:rsidP="0011355A">
      <w:pPr>
        <w:pStyle w:val="BodyText"/>
      </w:pPr>
      <w:r>
        <w:t>The quantitative</w:t>
      </w:r>
      <w:r w:rsidR="002460BB">
        <w:t xml:space="preserve"> analysis component of a large-scale analysis is similar to that of micro-scale analysis; however, conclusions will be less exact due to the generalized, less accurate nature of the data inputs. </w:t>
      </w:r>
    </w:p>
    <w:p w14:paraId="04E40328" w14:textId="43ADC99D" w:rsidR="00903257" w:rsidRDefault="009D7494" w:rsidP="00CB7F58">
      <w:pPr>
        <w:pStyle w:val="Heading2"/>
      </w:pPr>
      <w:bookmarkStart w:id="14" w:name="_Toc483321381"/>
      <w:r>
        <w:t>Other Options</w:t>
      </w:r>
      <w:bookmarkEnd w:id="14"/>
    </w:p>
    <w:p w14:paraId="0EDE0885" w14:textId="7A027C78" w:rsidR="00903257" w:rsidRDefault="00903257">
      <w:pPr>
        <w:pStyle w:val="BodyText"/>
      </w:pPr>
      <w:r>
        <w:t>For a step-by-step guide to conducting a build-out analysis by hand, using paper maps and drafting tools instead of computer software, see</w:t>
      </w:r>
      <w:r w:rsidR="004560F0" w:rsidRPr="004560F0">
        <w:t xml:space="preserve"> </w:t>
      </w:r>
      <w:r w:rsidR="004560F0">
        <w:t xml:space="preserve">Jeff </w:t>
      </w:r>
      <w:proofErr w:type="spellStart"/>
      <w:r w:rsidR="004560F0">
        <w:t>Lacy’s</w:t>
      </w:r>
      <w:proofErr w:type="spellEnd"/>
      <w:r>
        <w:t xml:space="preserve"> </w:t>
      </w:r>
      <w:r w:rsidR="004560F0">
        <w:t>“</w:t>
      </w:r>
      <w:hyperlink r:id="rId12" w:history="1">
        <w:r w:rsidRPr="00903257">
          <w:rPr>
            <w:rStyle w:val="Hyperlink"/>
          </w:rPr>
          <w:t>Manual of a Build-Out Analysis</w:t>
        </w:r>
      </w:hyperlink>
      <w:r w:rsidR="004560F0">
        <w:rPr>
          <w:rStyle w:val="Hyperlink"/>
        </w:rPr>
        <w:t>”</w:t>
      </w:r>
      <w:r>
        <w:t xml:space="preserve"> </w:t>
      </w:r>
      <w:r w:rsidR="004560F0">
        <w:t>(1990)</w:t>
      </w:r>
      <w:r>
        <w:t>.</w:t>
      </w:r>
      <w:r w:rsidR="001D7B49">
        <w:t xml:space="preserve"> Though old-fashioned, this method is still </w:t>
      </w:r>
      <w:r w:rsidR="00952E1A">
        <w:t>valid</w:t>
      </w:r>
      <w:r w:rsidR="001D7B49">
        <w:t>.</w:t>
      </w:r>
    </w:p>
    <w:p w14:paraId="56A51E06" w14:textId="59087900" w:rsidR="00903257" w:rsidRPr="00A83835" w:rsidRDefault="00903257">
      <w:pPr>
        <w:pStyle w:val="BodyText"/>
        <w:rPr>
          <w:color w:val="0000FF"/>
          <w:u w:val="single"/>
        </w:rPr>
      </w:pPr>
      <w:r>
        <w:lastRenderedPageBreak/>
        <w:t xml:space="preserve">For instructions to alternative GIS-based methods, including using the </w:t>
      </w:r>
      <w:proofErr w:type="spellStart"/>
      <w:r>
        <w:t>CommunityViz</w:t>
      </w:r>
      <w:proofErr w:type="spellEnd"/>
      <w:r>
        <w:t xml:space="preserve">® tool, see </w:t>
      </w:r>
      <w:r w:rsidR="00A83835">
        <w:t>“</w:t>
      </w:r>
      <w:hyperlink r:id="rId13" w:history="1">
        <w:r w:rsidRPr="00A83835">
          <w:rPr>
            <w:rStyle w:val="Hyperlink"/>
          </w:rPr>
          <w:t>About Buildouts</w:t>
        </w:r>
        <w:r w:rsidR="00C0443E" w:rsidRPr="00A83835">
          <w:rPr>
            <w:rStyle w:val="Hyperlink"/>
          </w:rPr>
          <w:t>: A Brief Guide to Buildout Analysis, and Why and How to do Them</w:t>
        </w:r>
      </w:hyperlink>
      <w:r w:rsidR="00A83835">
        <w:t>” (2008).</w:t>
      </w:r>
      <w:r w:rsidR="00A83835" w:rsidRPr="00A83835">
        <w:rPr>
          <w:color w:val="0000FF"/>
        </w:rPr>
        <w:t xml:space="preserve"> </w:t>
      </w:r>
      <w:r w:rsidR="001D7B49">
        <w:t>This</w:t>
      </w:r>
      <w:r>
        <w:t xml:space="preserve"> </w:t>
      </w:r>
      <w:r w:rsidR="008D631B">
        <w:t>technical report</w:t>
      </w:r>
      <w:r>
        <w:t xml:space="preserve"> </w:t>
      </w:r>
      <w:r w:rsidR="001D7B49">
        <w:t>analyzes data from a single town using three different methods, ranging from simple to complex. Readers can compare the difficulty and accuracy of each method, and see how actual numbers are used in the calculations.</w:t>
      </w:r>
    </w:p>
    <w:p w14:paraId="424C2672" w14:textId="0342FB14" w:rsidR="00F37216" w:rsidRDefault="00F37216" w:rsidP="00F37216">
      <w:pPr>
        <w:pStyle w:val="Heading1"/>
      </w:pPr>
      <w:bookmarkStart w:id="15" w:name="_Toc483321382"/>
      <w:bookmarkStart w:id="16" w:name="_Toc241539817"/>
      <w:bookmarkStart w:id="17" w:name="_Toc477426814"/>
      <w:bookmarkStart w:id="18" w:name="_Toc479763478"/>
      <w:bookmarkEnd w:id="0"/>
      <w:bookmarkEnd w:id="5"/>
      <w:r>
        <w:t>Response to Results</w:t>
      </w:r>
      <w:bookmarkEnd w:id="15"/>
    </w:p>
    <w:p w14:paraId="0CE53F1D" w14:textId="795BA819" w:rsidR="00F37216" w:rsidRPr="00C412A4" w:rsidRDefault="00F37216" w:rsidP="00F37216">
      <w:pPr>
        <w:pStyle w:val="BodyText"/>
      </w:pPr>
      <w:r w:rsidRPr="00C412A4">
        <w:t>The level of development potential identified by an analysis often frightens people, who never thought their communit</w:t>
      </w:r>
      <w:r>
        <w:t xml:space="preserve">y could absorb so much growth. </w:t>
      </w:r>
      <w:r w:rsidRPr="00C412A4">
        <w:t xml:space="preserve">The traditional </w:t>
      </w:r>
      <w:r>
        <w:t>fix is to reduce development by down-zoning</w:t>
      </w:r>
      <w:r w:rsidR="00982CA1">
        <w:t>;</w:t>
      </w:r>
      <w:r w:rsidRPr="00607F2D">
        <w:rPr>
          <w:rStyle w:val="FootnoteReference"/>
        </w:rPr>
        <w:footnoteReference w:id="3"/>
      </w:r>
      <w:r>
        <w:t xml:space="preserve"> however, this method</w:t>
      </w:r>
      <w:r w:rsidRPr="00C412A4">
        <w:t xml:space="preserve"> is </w:t>
      </w:r>
      <w:r w:rsidR="00484303">
        <w:t>problematic</w:t>
      </w:r>
      <w:r w:rsidRPr="00C412A4">
        <w:t xml:space="preserve"> because </w:t>
      </w:r>
      <w:r w:rsidR="00F13552">
        <w:t>owners of undeveloped land</w:t>
      </w:r>
      <w:r w:rsidRPr="00C412A4">
        <w:t xml:space="preserve"> </w:t>
      </w:r>
      <w:r>
        <w:t xml:space="preserve">may </w:t>
      </w:r>
      <w:r w:rsidR="00AE0941">
        <w:t>protest the potential</w:t>
      </w:r>
      <w:r w:rsidRPr="00C412A4">
        <w:t xml:space="preserve"> loss of property value. </w:t>
      </w:r>
      <w:r w:rsidR="001C545F">
        <w:t xml:space="preserve">And while it may reduce the density of development, it </w:t>
      </w:r>
      <w:r w:rsidR="004D109D">
        <w:t xml:space="preserve">may </w:t>
      </w:r>
      <w:r w:rsidR="00883731">
        <w:t xml:space="preserve">accelerate the </w:t>
      </w:r>
      <w:r w:rsidR="00071C91">
        <w:t>consumption of land for development and introduce other problems.</w:t>
      </w:r>
      <w:r w:rsidR="004D109D">
        <w:t xml:space="preserve"> </w:t>
      </w:r>
      <w:r w:rsidRPr="00C412A4">
        <w:t xml:space="preserve">Zoning changes that utilize </w:t>
      </w:r>
      <w:hyperlink r:id="rId14" w:history="1">
        <w:r>
          <w:rPr>
            <w:rStyle w:val="Hyperlink"/>
          </w:rPr>
          <w:t>Transfer of Development R</w:t>
        </w:r>
        <w:r w:rsidRPr="00761FA6">
          <w:rPr>
            <w:rStyle w:val="Hyperlink"/>
          </w:rPr>
          <w:t>ights</w:t>
        </w:r>
      </w:hyperlink>
      <w:r w:rsidRPr="00C412A4">
        <w:t xml:space="preserve">, </w:t>
      </w:r>
      <w:hyperlink r:id="rId15" w:history="1">
        <w:r>
          <w:rPr>
            <w:rStyle w:val="Hyperlink"/>
          </w:rPr>
          <w:t>C</w:t>
        </w:r>
        <w:r w:rsidRPr="00761FA6">
          <w:rPr>
            <w:rStyle w:val="Hyperlink"/>
          </w:rPr>
          <w:t>onservation by Design</w:t>
        </w:r>
      </w:hyperlink>
      <w:r w:rsidRPr="00C412A4">
        <w:t xml:space="preserve">, and </w:t>
      </w:r>
      <w:hyperlink r:id="rId16" w:history="1">
        <w:r w:rsidRPr="00761FA6">
          <w:rPr>
            <w:rStyle w:val="Hyperlink"/>
          </w:rPr>
          <w:t>Traditional Neighborhood Development</w:t>
        </w:r>
      </w:hyperlink>
      <w:r w:rsidRPr="00C412A4">
        <w:t xml:space="preserve"> can be </w:t>
      </w:r>
      <w:r>
        <w:t xml:space="preserve">more effective </w:t>
      </w:r>
      <w:r w:rsidRPr="00C412A4">
        <w:t xml:space="preserve">approaches to managing future development pressure. </w:t>
      </w:r>
    </w:p>
    <w:p w14:paraId="708B9B6E" w14:textId="6575B58A" w:rsidR="004F538F" w:rsidRPr="005E792D" w:rsidRDefault="004F538F" w:rsidP="00B4401C">
      <w:pPr>
        <w:pStyle w:val="Heading1"/>
      </w:pPr>
      <w:bookmarkStart w:id="19" w:name="_Toc483321383"/>
      <w:r w:rsidRPr="005E792D">
        <w:t xml:space="preserve">Resources at </w:t>
      </w:r>
      <w:r w:rsidRPr="00B4401C">
        <w:t>ConservationTools</w:t>
      </w:r>
      <w:r w:rsidRPr="005E792D">
        <w:t>.org</w:t>
      </w:r>
      <w:bookmarkEnd w:id="16"/>
      <w:bookmarkEnd w:id="17"/>
      <w:bookmarkEnd w:id="18"/>
      <w:bookmarkEnd w:id="19"/>
    </w:p>
    <w:p w14:paraId="4191500E" w14:textId="77777777" w:rsidR="001205A3" w:rsidRDefault="007353B0" w:rsidP="00E466A7">
      <w:pPr>
        <w:pStyle w:val="BodyText"/>
      </w:pPr>
      <w:r>
        <w:t xml:space="preserve">To find </w:t>
      </w:r>
      <w:r w:rsidR="001205A3">
        <w:t>related</w:t>
      </w:r>
      <w:r w:rsidR="00256FAA">
        <w:t xml:space="preserve"> resources, see the right</w:t>
      </w:r>
      <w:r>
        <w:t xml:space="preserve"> column of the on-line edition at</w:t>
      </w:r>
      <w:r w:rsidR="001205A3">
        <w:t>:</w:t>
      </w:r>
    </w:p>
    <w:p w14:paraId="50FCA30C" w14:textId="6D350C73" w:rsidR="004560F0" w:rsidRDefault="008653F6" w:rsidP="00E466A7">
      <w:pPr>
        <w:pStyle w:val="BodyText"/>
      </w:pPr>
      <w:hyperlink r:id="rId17" w:history="1">
        <w:r w:rsidR="004560F0" w:rsidRPr="00E55A89">
          <w:rPr>
            <w:rStyle w:val="Hyperlink"/>
          </w:rPr>
          <w:t>http://conservationtools.org/guides/42</w:t>
        </w:r>
      </w:hyperlink>
      <w:r w:rsidR="004560F0">
        <w:t>.</w:t>
      </w:r>
    </w:p>
    <w:p w14:paraId="435FF734" w14:textId="754C8A13" w:rsidR="00100BFF" w:rsidRDefault="00100BFF" w:rsidP="002C154F"/>
    <w:p w14:paraId="21AFEFA3" w14:textId="303E3393" w:rsidR="00C3358A" w:rsidRPr="005E792D" w:rsidRDefault="00C3358A" w:rsidP="00100BFF">
      <w:pPr>
        <w:jc w:val="center"/>
      </w:pPr>
      <w:r>
        <w:t>***</w:t>
      </w:r>
    </w:p>
    <w:p w14:paraId="68C91FFE" w14:textId="77777777" w:rsidR="00B745AB" w:rsidRDefault="00B745AB" w:rsidP="00256FAA">
      <w:pPr>
        <w:rPr>
          <w:b/>
          <w:sz w:val="24"/>
        </w:rPr>
      </w:pPr>
    </w:p>
    <w:p w14:paraId="2BDB6BC2" w14:textId="77777777" w:rsidR="00B745AB" w:rsidRDefault="00B745AB" w:rsidP="00256FAA">
      <w:pPr>
        <w:rPr>
          <w:b/>
          <w:sz w:val="24"/>
        </w:rPr>
      </w:pPr>
    </w:p>
    <w:p w14:paraId="305588B8" w14:textId="77777777" w:rsidR="00B745AB" w:rsidRDefault="00B745AB" w:rsidP="00256FAA">
      <w:pPr>
        <w:rPr>
          <w:b/>
          <w:sz w:val="24"/>
        </w:rPr>
      </w:pPr>
    </w:p>
    <w:p w14:paraId="4C58AEBE" w14:textId="5FDAF763" w:rsidR="00256FAA" w:rsidRPr="00C3358A" w:rsidRDefault="00883731" w:rsidP="00256FAA">
      <w:pPr>
        <w:rPr>
          <w:b/>
          <w:sz w:val="24"/>
        </w:rPr>
      </w:pPr>
      <w:r>
        <w:rPr>
          <w:b/>
          <w:sz w:val="24"/>
        </w:rPr>
        <w:br w:type="column"/>
      </w:r>
      <w:r w:rsidR="00256FAA" w:rsidRPr="00C3358A">
        <w:rPr>
          <w:b/>
          <w:sz w:val="24"/>
        </w:rPr>
        <w:lastRenderedPageBreak/>
        <w:t>Submit Comments</w:t>
      </w:r>
    </w:p>
    <w:p w14:paraId="1ADF2E7F" w14:textId="77777777" w:rsidR="00093A91" w:rsidRDefault="00093A91" w:rsidP="00093A91">
      <w:pPr>
        <w:pStyle w:val="BodyText"/>
      </w:pPr>
      <w:r>
        <w:t>Help improve the next edition of this guide. Email your suggestions to</w:t>
      </w:r>
      <w:r w:rsidRPr="003837E7">
        <w:t xml:space="preserve"> the Pennsylvania Land Trust Association</w:t>
      </w:r>
      <w:r>
        <w:t xml:space="preserve"> at </w:t>
      </w:r>
      <w:hyperlink r:id="rId18" w:history="1">
        <w:r w:rsidRPr="008E3020">
          <w:rPr>
            <w:rStyle w:val="Hyperlink"/>
          </w:rPr>
          <w:t>aloza@conserveland.org</w:t>
        </w:r>
      </w:hyperlink>
      <w:r>
        <w:t xml:space="preserve">. </w:t>
      </w:r>
      <w:r w:rsidRPr="003837E7">
        <w:t>Thank you.</w:t>
      </w:r>
    </w:p>
    <w:p w14:paraId="5DD99FDF" w14:textId="778FD65A" w:rsidR="005C3ED6" w:rsidRPr="000C563D" w:rsidRDefault="005C3ED6" w:rsidP="00093A91"/>
    <w:p w14:paraId="5611C7DD" w14:textId="77777777" w:rsidR="00256FAA" w:rsidRPr="00C3358A" w:rsidRDefault="00256FAA" w:rsidP="00256FAA">
      <w:pPr>
        <w:rPr>
          <w:b/>
          <w:sz w:val="24"/>
        </w:rPr>
      </w:pPr>
      <w:r w:rsidRPr="00AD2E58">
        <w:rPr>
          <w:b/>
          <w:sz w:val="24"/>
        </w:rPr>
        <w:t>Acknowledgements</w:t>
      </w:r>
    </w:p>
    <w:p w14:paraId="7D477436" w14:textId="03DDD1CE" w:rsidR="002460BB" w:rsidRDefault="00471A5E" w:rsidP="00192441">
      <w:pPr>
        <w:rPr>
          <w:rStyle w:val="BodyTextChar"/>
        </w:rPr>
      </w:pPr>
      <w:r w:rsidRPr="0011355A">
        <w:rPr>
          <w:rStyle w:val="BodyTextChar"/>
        </w:rPr>
        <w:t xml:space="preserve">A substantial portion of the </w:t>
      </w:r>
      <w:r>
        <w:rPr>
          <w:rStyle w:val="BodyTextChar"/>
        </w:rPr>
        <w:t>first edition’s text</w:t>
      </w:r>
      <w:r w:rsidRPr="0011355A">
        <w:rPr>
          <w:rStyle w:val="BodyTextChar"/>
        </w:rPr>
        <w:t xml:space="preserve"> was quoted directly or adapted from the U.S. Environmental Protection Agency website</w:t>
      </w:r>
      <w:r w:rsidR="0012730A">
        <w:rPr>
          <w:rStyle w:val="BodyTextChar"/>
        </w:rPr>
        <w:t xml:space="preserve"> (2009)</w:t>
      </w:r>
      <w:r>
        <w:rPr>
          <w:rStyle w:val="BodyTextChar"/>
        </w:rPr>
        <w:t>.</w:t>
      </w:r>
      <w:r w:rsidR="0012730A">
        <w:rPr>
          <w:rStyle w:val="BodyTextChar"/>
        </w:rPr>
        <w:t xml:space="preserve"> </w:t>
      </w:r>
      <w:hyperlink r:id="rId19" w:history="1">
        <w:r w:rsidR="002460BB" w:rsidRPr="002460BB">
          <w:rPr>
            <w:rStyle w:val="Hyperlink"/>
          </w:rPr>
          <w:t xml:space="preserve">Patty </w:t>
        </w:r>
        <w:proofErr w:type="spellStart"/>
        <w:r w:rsidR="002460BB" w:rsidRPr="002460BB">
          <w:rPr>
            <w:rStyle w:val="Hyperlink"/>
          </w:rPr>
          <w:t>Elkis</w:t>
        </w:r>
        <w:proofErr w:type="spellEnd"/>
      </w:hyperlink>
      <w:r w:rsidR="002460BB" w:rsidRPr="00322EB4">
        <w:t xml:space="preserve">, </w:t>
      </w:r>
      <w:r w:rsidR="002460BB" w:rsidRPr="0011355A">
        <w:rPr>
          <w:rStyle w:val="BodyTextChar"/>
        </w:rPr>
        <w:t xml:space="preserve">PP, AICP, </w:t>
      </w:r>
      <w:r w:rsidR="004B1D90">
        <w:rPr>
          <w:rStyle w:val="BodyTextChar"/>
        </w:rPr>
        <w:t>of the</w:t>
      </w:r>
      <w:r w:rsidR="002460BB" w:rsidRPr="0011355A">
        <w:rPr>
          <w:rStyle w:val="BodyTextChar"/>
        </w:rPr>
        <w:t xml:space="preserve"> Delaware Valley Regional Planning Commission </w:t>
      </w:r>
      <w:r w:rsidR="0012730A">
        <w:rPr>
          <w:rStyle w:val="BodyTextChar"/>
        </w:rPr>
        <w:t>prepared</w:t>
      </w:r>
      <w:r>
        <w:rPr>
          <w:rStyle w:val="BodyTextChar"/>
        </w:rPr>
        <w:t xml:space="preserve"> the </w:t>
      </w:r>
      <w:r w:rsidR="0012730A">
        <w:rPr>
          <w:rStyle w:val="BodyTextChar"/>
        </w:rPr>
        <w:t>initial</w:t>
      </w:r>
      <w:r>
        <w:rPr>
          <w:rStyle w:val="BodyTextChar"/>
        </w:rPr>
        <w:t xml:space="preserve"> </w:t>
      </w:r>
      <w:r w:rsidR="00BE417F">
        <w:rPr>
          <w:rStyle w:val="BodyTextChar"/>
        </w:rPr>
        <w:t xml:space="preserve">draft, and </w:t>
      </w:r>
      <w:r w:rsidR="0012730A">
        <w:rPr>
          <w:rStyle w:val="BodyTextChar"/>
        </w:rPr>
        <w:t xml:space="preserve">PALTA staff </w:t>
      </w:r>
      <w:r w:rsidR="00192441">
        <w:rPr>
          <w:rStyle w:val="BodyTextChar"/>
        </w:rPr>
        <w:t>prepared the final draft</w:t>
      </w:r>
      <w:r w:rsidR="002460BB" w:rsidRPr="0011355A">
        <w:rPr>
          <w:rStyle w:val="BodyTextChar"/>
        </w:rPr>
        <w:t>.</w:t>
      </w:r>
      <w:r w:rsidR="002460BB">
        <w:t xml:space="preserve"> </w:t>
      </w:r>
      <w:hyperlink r:id="rId20" w:history="1">
        <w:r w:rsidR="00BE417F" w:rsidRPr="00134543">
          <w:rPr>
            <w:rStyle w:val="Hyperlink"/>
          </w:rPr>
          <w:t xml:space="preserve">Nate </w:t>
        </w:r>
        <w:proofErr w:type="spellStart"/>
        <w:r w:rsidR="00BE417F" w:rsidRPr="00134543">
          <w:rPr>
            <w:rStyle w:val="Hyperlink"/>
          </w:rPr>
          <w:t>Lotze</w:t>
        </w:r>
        <w:proofErr w:type="spellEnd"/>
      </w:hyperlink>
      <w:r w:rsidR="00BE417F">
        <w:t xml:space="preserve"> </w:t>
      </w:r>
      <w:r w:rsidR="00C0116A">
        <w:t xml:space="preserve">greatly </w:t>
      </w:r>
      <w:r w:rsidR="00BE417F">
        <w:rPr>
          <w:rStyle w:val="BodyTextChar"/>
        </w:rPr>
        <w:t xml:space="preserve">reworked the guide for its second edition, restructuring it and adding new material; </w:t>
      </w:r>
      <w:hyperlink r:id="rId21" w:history="1">
        <w:r w:rsidR="00BE417F" w:rsidRPr="000D2358">
          <w:rPr>
            <w:rStyle w:val="Hyperlink"/>
            <w:rFonts w:eastAsia="Calibri"/>
          </w:rPr>
          <w:t>Andrew M. Loza</w:t>
        </w:r>
      </w:hyperlink>
      <w:r w:rsidR="00BE417F">
        <w:rPr>
          <w:rFonts w:eastAsia="Calibri"/>
        </w:rPr>
        <w:t xml:space="preserve"> </w:t>
      </w:r>
      <w:r w:rsidR="00BE417F">
        <w:rPr>
          <w:rStyle w:val="BodyTextChar"/>
        </w:rPr>
        <w:t>edited it.</w:t>
      </w:r>
    </w:p>
    <w:p w14:paraId="217A9666" w14:textId="77777777" w:rsidR="00192441" w:rsidRPr="00192441" w:rsidRDefault="00192441" w:rsidP="00192441">
      <w:pPr>
        <w:rPr>
          <w:rFonts w:eastAsia="Calibri"/>
        </w:rPr>
      </w:pPr>
    </w:p>
    <w:p w14:paraId="03EC0909" w14:textId="0CE23E0C" w:rsidR="00762EA7" w:rsidRDefault="00401471" w:rsidP="009C03CE">
      <w:pPr>
        <w:pStyle w:val="BodyText"/>
      </w:pPr>
      <w:r w:rsidRPr="005E792D">
        <w:t xml:space="preserve">The Pennsylvania Land Trust Association published this guide with support from the William Penn Foundation and the </w:t>
      </w:r>
      <w:r w:rsidR="00381B7B" w:rsidRPr="005E792D">
        <w:t xml:space="preserve">Community Conservation Partnerships Program, Environmental Stewardship Fund, under the administration of the </w:t>
      </w:r>
      <w:r w:rsidRPr="005E792D">
        <w:t>Pennsylvania Department of Conservation and Natural Resources, Bureau of Recreation and Conservation.</w:t>
      </w:r>
      <w:r w:rsidR="00F24B0F" w:rsidRPr="005E792D">
        <w:rPr>
          <w:noProof/>
        </w:rPr>
        <w:t xml:space="preserve"> </w:t>
      </w:r>
    </w:p>
    <w:p w14:paraId="00D71D5C" w14:textId="77777777" w:rsidR="005C3ED6" w:rsidRPr="005E792D" w:rsidRDefault="005C3ED6" w:rsidP="009C03CE">
      <w:pPr>
        <w:pStyle w:val="BodyText"/>
      </w:pPr>
    </w:p>
    <w:p w14:paraId="51678013" w14:textId="11CB6298" w:rsidR="00061B07" w:rsidRPr="005E792D" w:rsidRDefault="00061B07" w:rsidP="002C154F">
      <w:pPr>
        <w:pStyle w:val="Disclaimer"/>
      </w:pPr>
      <w:r w:rsidRPr="005E792D">
        <w:t>Nothing contained in this or any other document available at ConservationTools.org is intended to be relied upon as legal advice. The authors disclaim any attorney-client relationship with anyone to whom this document is furnished. Nothing contained in this document is intended to be used, and cannot be used, for the purpose of (</w:t>
      </w:r>
      <w:proofErr w:type="spellStart"/>
      <w:r w:rsidRPr="005E792D">
        <w:t>i</w:t>
      </w:r>
      <w:proofErr w:type="spellEnd"/>
      <w:r w:rsidRPr="005E792D">
        <w:t>) avoiding penalties under the Internal Revenue Code or (ii) promoting, marketing or recommending to any person any transaction or matter addressed in this document.</w:t>
      </w:r>
    </w:p>
    <w:p w14:paraId="578E02C0" w14:textId="7C52D41A" w:rsidR="005C3ED6" w:rsidRDefault="005C3ED6" w:rsidP="00C3358A">
      <w:pPr>
        <w:pStyle w:val="BodyText"/>
      </w:pPr>
    </w:p>
    <w:p w14:paraId="3FEB1C4F" w14:textId="5B96262D" w:rsidR="00C3358A" w:rsidRPr="001C5873" w:rsidRDefault="00C3358A" w:rsidP="00C3358A">
      <w:pPr>
        <w:pStyle w:val="BodyText"/>
      </w:pPr>
      <w:r w:rsidRPr="001C5873">
        <w:t xml:space="preserve">© </w:t>
      </w:r>
      <w:r w:rsidRPr="007B708C">
        <w:t>2017</w:t>
      </w:r>
      <w:r w:rsidR="004304DC">
        <w:t>, 2009</w:t>
      </w:r>
      <w:r>
        <w:t xml:space="preserve"> </w:t>
      </w:r>
      <w:r w:rsidRPr="001C5873">
        <w:t>Pennsylvania Land Trust Association</w:t>
      </w:r>
    </w:p>
    <w:p w14:paraId="39A9E7DA" w14:textId="77777777" w:rsidR="00C3358A" w:rsidRPr="007B708C" w:rsidRDefault="00C3358A" w:rsidP="00C3358A">
      <w:pPr>
        <w:pStyle w:val="BodyText"/>
      </w:pPr>
      <w:r w:rsidRPr="005268DC">
        <w:t xml:space="preserve">Text may be excerpted and reproduced with acknowledgement of </w:t>
      </w:r>
      <w:hyperlink r:id="rId22" w:history="1">
        <w:r w:rsidRPr="007B708C">
          <w:rPr>
            <w:rStyle w:val="Hyperlink"/>
          </w:rPr>
          <w:t>ConservationTools.org</w:t>
        </w:r>
      </w:hyperlink>
      <w:r w:rsidRPr="005268DC">
        <w:t xml:space="preserve"> </w:t>
      </w:r>
      <w:r w:rsidRPr="007B708C">
        <w:t>and the Pennsylvania Land Trust Association.</w:t>
      </w:r>
    </w:p>
    <w:p w14:paraId="59CCD57E" w14:textId="77777777" w:rsidR="00560FB8" w:rsidRPr="005E792D" w:rsidRDefault="00560FB8" w:rsidP="00560FB8"/>
    <w:sectPr w:rsidR="00560FB8" w:rsidRPr="005E792D" w:rsidSect="009F76BC">
      <w:headerReference w:type="even" r:id="rId23"/>
      <w:headerReference w:type="default" r:id="rId24"/>
      <w:footerReference w:type="default" r:id="rId25"/>
      <w:headerReference w:type="first" r:id="rId26"/>
      <w:footerReference w:type="first" r:id="rId27"/>
      <w:endnotePr>
        <w:numFmt w:val="decimal"/>
      </w:endnotePr>
      <w:pgSz w:w="12240" w:h="15840"/>
      <w:pgMar w:top="1152" w:right="576" w:bottom="864" w:left="576" w:header="576" w:footer="576" w:gutter="0"/>
      <w:cols w:num="2" w:space="432"/>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56A6F" w14:textId="77777777" w:rsidR="008653F6" w:rsidRDefault="008653F6" w:rsidP="00421A32">
      <w:r>
        <w:separator/>
      </w:r>
    </w:p>
  </w:endnote>
  <w:endnote w:type="continuationSeparator" w:id="0">
    <w:p w14:paraId="1FA1D717" w14:textId="77777777" w:rsidR="008653F6" w:rsidRDefault="008653F6" w:rsidP="0042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alatino Linotype">
    <w:panose1 w:val="02040502050505030304"/>
    <w:charset w:val="00"/>
    <w:family w:val="auto"/>
    <w:pitch w:val="variable"/>
    <w:sig w:usb0="E0000287" w:usb1="40000013"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SGJEP+NPSRawlinsonTwo">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9AF94" w14:textId="47505A34" w:rsidR="00830C00" w:rsidRPr="00A94518" w:rsidRDefault="00830C00" w:rsidP="008065D8">
    <w:pPr>
      <w:pStyle w:val="Footer"/>
      <w:tabs>
        <w:tab w:val="right" w:pos="11070"/>
      </w:tabs>
    </w:pPr>
    <w:r w:rsidRPr="00A94518">
      <w:rPr>
        <w:rStyle w:val="PageNumber"/>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F9243" w14:textId="09800164" w:rsidR="00830C00" w:rsidRPr="009F76BC" w:rsidRDefault="00830C00">
    <w:pPr>
      <w:pStyle w:val="Footer"/>
      <w:rPr>
        <w:sz w:val="16"/>
        <w:szCs w:val="16"/>
      </w:rPr>
    </w:pPr>
    <w:r w:rsidRPr="009F76BC">
      <w:rPr>
        <w:rFonts w:cs="Gill Sans"/>
        <w:sz w:val="16"/>
        <w:szCs w:val="16"/>
      </w:rPr>
      <w:t>L</w:t>
    </w:r>
    <w:r>
      <w:rPr>
        <w:rFonts w:cs="Gill Sans"/>
        <w:sz w:val="16"/>
        <w:szCs w:val="16"/>
      </w:rPr>
      <w:t xml:space="preserve">ast updated on </w:t>
    </w:r>
    <w:r w:rsidR="008D631B">
      <w:rPr>
        <w:rFonts w:cs="Gill Sans"/>
        <w:sz w:val="16"/>
        <w:szCs w:val="16"/>
      </w:rPr>
      <w:t>5/23</w:t>
    </w:r>
    <w:r>
      <w:rPr>
        <w:rFonts w:cs="Gill Sans"/>
        <w:sz w:val="16"/>
        <w:szCs w:val="16"/>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A3014" w14:textId="77777777" w:rsidR="008653F6" w:rsidRDefault="008653F6" w:rsidP="00421A32">
      <w:r>
        <w:separator/>
      </w:r>
    </w:p>
  </w:footnote>
  <w:footnote w:type="continuationSeparator" w:id="0">
    <w:p w14:paraId="7A1986BF" w14:textId="77777777" w:rsidR="008653F6" w:rsidRDefault="008653F6" w:rsidP="00421A32">
      <w:r>
        <w:continuationSeparator/>
      </w:r>
    </w:p>
  </w:footnote>
  <w:footnote w:id="1">
    <w:p w14:paraId="3719F01C" w14:textId="2E49B6BA" w:rsidR="002460BB" w:rsidRDefault="002460BB" w:rsidP="002460BB">
      <w:pPr>
        <w:pStyle w:val="FootnoteText"/>
      </w:pPr>
      <w:r>
        <w:rPr>
          <w:rStyle w:val="FootnoteReference"/>
        </w:rPr>
        <w:footnoteRef/>
      </w:r>
      <w:r>
        <w:t xml:space="preserve"> </w:t>
      </w:r>
      <w:r w:rsidR="00F9041D">
        <w:t>All u</w:t>
      </w:r>
      <w:r w:rsidR="00F9041D" w:rsidRPr="003416F3">
        <w:t xml:space="preserve">ndeveloped </w:t>
      </w:r>
      <w:r w:rsidRPr="003416F3">
        <w:t>land (vacant, wooded, and agricultural) and land deemed appropriate for redevelopment is considered “developable”</w:t>
      </w:r>
      <w:r w:rsidR="00F9041D">
        <w:t xml:space="preserve"> for purposes of this calculation.</w:t>
      </w:r>
      <w:r w:rsidRPr="003416F3">
        <w:t xml:space="preserve">  </w:t>
      </w:r>
    </w:p>
  </w:footnote>
  <w:footnote w:id="2">
    <w:p w14:paraId="791D3437" w14:textId="085E6968" w:rsidR="002460BB" w:rsidRPr="003416F3" w:rsidRDefault="002460BB" w:rsidP="002460BB">
      <w:pPr>
        <w:pStyle w:val="FootnoteText"/>
      </w:pPr>
      <w:r>
        <w:rPr>
          <w:rStyle w:val="FootnoteReference"/>
        </w:rPr>
        <w:footnoteRef/>
      </w:r>
      <w:r>
        <w:t xml:space="preserve"> F</w:t>
      </w:r>
      <w:r w:rsidRPr="003416F3">
        <w:t xml:space="preserve">loodplain, wetlands, steep slopes, and other areas </w:t>
      </w:r>
      <w:r w:rsidR="005507AB">
        <w:t>that regulations deem unsuitable for development</w:t>
      </w:r>
      <w:r>
        <w:t xml:space="preserve"> are considered “environmentally constrained.”</w:t>
      </w:r>
    </w:p>
  </w:footnote>
  <w:footnote w:id="3">
    <w:p w14:paraId="51B2F800" w14:textId="753C169E" w:rsidR="00F37216" w:rsidRDefault="00F37216" w:rsidP="00F37216">
      <w:pPr>
        <w:pStyle w:val="FootnoteText"/>
      </w:pPr>
      <w:r>
        <w:rPr>
          <w:rStyle w:val="FootnoteReference"/>
        </w:rPr>
        <w:footnoteRef/>
      </w:r>
      <w:r>
        <w:t xml:space="preserve"> </w:t>
      </w:r>
      <w:r w:rsidR="004560F0">
        <w:t>Down-zoning means modifying a zoning ordinance to reduce</w:t>
      </w:r>
      <w:r w:rsidRPr="00C53252">
        <w:t xml:space="preserve"> the number of residential lots or non-residential square feet that </w:t>
      </w:r>
      <w:r w:rsidR="004560F0">
        <w:t>are permitted to</w:t>
      </w:r>
      <w:r w:rsidRPr="00C53252">
        <w:t xml:space="preserve"> be built </w:t>
      </w:r>
      <w:r w:rsidR="004560F0">
        <w:t>in a given area</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F0CC7" w14:textId="6FADD639" w:rsidR="00830C00" w:rsidRPr="00971933" w:rsidRDefault="00830C00" w:rsidP="00C36826">
    <w:pPr>
      <w:pStyle w:val="Header"/>
    </w:pPr>
    <w:r w:rsidRPr="00E73049">
      <w:rPr>
        <w:rStyle w:val="PageNumber"/>
      </w:rPr>
      <w:fldChar w:fldCharType="begin"/>
    </w:r>
    <w:r w:rsidRPr="00E73049">
      <w:rPr>
        <w:rStyle w:val="PageNumber"/>
      </w:rPr>
      <w:instrText xml:space="preserve"> PAGE </w:instrText>
    </w:r>
    <w:r w:rsidRPr="00E73049">
      <w:rPr>
        <w:rStyle w:val="PageNumber"/>
      </w:rPr>
      <w:fldChar w:fldCharType="separate"/>
    </w:r>
    <w:r w:rsidR="006D2846">
      <w:rPr>
        <w:rStyle w:val="PageNumber"/>
        <w:noProof/>
      </w:rPr>
      <w:t>2</w:t>
    </w:r>
    <w:r w:rsidRPr="00E73049">
      <w:rPr>
        <w:rStyle w:val="PageNumber"/>
      </w:rPr>
      <w:fldChar w:fldCharType="end"/>
    </w:r>
    <w:r>
      <w:rPr>
        <w:rStyle w:val="PageNumber"/>
      </w:rPr>
      <w:tab/>
    </w:r>
    <w:r w:rsidR="002460BB">
      <w:t>Build-Out Analysis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CDF2" w14:textId="51900BB5" w:rsidR="00830C00" w:rsidRPr="00121AF6" w:rsidRDefault="00830C00" w:rsidP="00C36826">
    <w:pPr>
      <w:pStyle w:val="Header"/>
      <w:jc w:val="center"/>
    </w:pPr>
    <w:r>
      <w:tab/>
    </w:r>
    <w:r w:rsidRPr="00121AF6">
      <w:t>Pennsylvania Land Trust Association</w:t>
    </w:r>
    <w:r w:rsidRPr="00A94518">
      <w:rPr>
        <w:noProof/>
      </w:rPr>
      <w:drawing>
        <wp:anchor distT="0" distB="0" distL="114300" distR="114300" simplePos="0" relativeHeight="251663360" behindDoc="0" locked="1" layoutInCell="1" allowOverlap="1" wp14:anchorId="73056158" wp14:editId="7A81C7CD">
          <wp:simplePos x="0" y="0"/>
          <wp:positionH relativeFrom="page">
            <wp:posOffset>368300</wp:posOffset>
          </wp:positionH>
          <wp:positionV relativeFrom="page">
            <wp:posOffset>279400</wp:posOffset>
          </wp:positionV>
          <wp:extent cx="1060704" cy="411480"/>
          <wp:effectExtent l="0" t="0" r="6350" b="0"/>
          <wp:wrapNone/>
          <wp:docPr id="5" name="Picture 5"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1060704" cy="411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Pr="00A94518">
      <w:rPr>
        <w:rStyle w:val="PageNumber"/>
      </w:rPr>
      <w:fldChar w:fldCharType="begin"/>
    </w:r>
    <w:r w:rsidRPr="00A94518">
      <w:rPr>
        <w:rStyle w:val="PageNumber"/>
      </w:rPr>
      <w:instrText xml:space="preserve"> PAGE </w:instrText>
    </w:r>
    <w:r w:rsidRPr="00A94518">
      <w:rPr>
        <w:rStyle w:val="PageNumber"/>
      </w:rPr>
      <w:fldChar w:fldCharType="separate"/>
    </w:r>
    <w:r w:rsidR="006D2846">
      <w:rPr>
        <w:rStyle w:val="PageNumber"/>
        <w:noProof/>
      </w:rPr>
      <w:t>3</w:t>
    </w:r>
    <w:r w:rsidRPr="00A94518">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80E25" w14:textId="5AA28875" w:rsidR="00830C00" w:rsidRDefault="00830C00" w:rsidP="00E77051">
    <w:pPr>
      <w:pStyle w:val="Title"/>
    </w:pPr>
    <w:r w:rsidRPr="009A62DC">
      <w:rPr>
        <w:noProof/>
      </w:rPr>
      <w:drawing>
        <wp:anchor distT="0" distB="0" distL="114300" distR="114300" simplePos="0" relativeHeight="251658752" behindDoc="0" locked="0" layoutInCell="1" allowOverlap="1" wp14:anchorId="714E15A8" wp14:editId="2C48AB02">
          <wp:simplePos x="0" y="0"/>
          <wp:positionH relativeFrom="column">
            <wp:posOffset>4993005</wp:posOffset>
          </wp:positionH>
          <wp:positionV relativeFrom="paragraph">
            <wp:posOffset>-2540</wp:posOffset>
          </wp:positionV>
          <wp:extent cx="2131060" cy="746760"/>
          <wp:effectExtent l="0" t="0" r="0" b="0"/>
          <wp:wrapTight wrapText="bothSides">
            <wp:wrapPolygon edited="0">
              <wp:start x="2317" y="0"/>
              <wp:lineTo x="772" y="5878"/>
              <wp:lineTo x="257" y="8816"/>
              <wp:lineTo x="257" y="14694"/>
              <wp:lineTo x="2832" y="19837"/>
              <wp:lineTo x="3604" y="20571"/>
              <wp:lineTo x="4634" y="20571"/>
              <wp:lineTo x="19824" y="19102"/>
              <wp:lineTo x="20853" y="13224"/>
              <wp:lineTo x="20853" y="1469"/>
              <wp:lineTo x="5664" y="0"/>
              <wp:lineTo x="231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gif"/>
                  <pic:cNvPicPr/>
                </pic:nvPicPr>
                <pic:blipFill>
                  <a:blip r:embed="rId1" cstate="print">
                    <a:grayscl/>
                    <a:extLst>
                      <a:ext uri="{28A0092B-C50C-407E-A947-70E740481C1C}">
                        <a14:useLocalDpi xmlns:a14="http://schemas.microsoft.com/office/drawing/2010/main"/>
                      </a:ext>
                    </a:extLst>
                  </a:blip>
                  <a:stretch>
                    <a:fillRect/>
                  </a:stretch>
                </pic:blipFill>
                <pic:spPr>
                  <a:xfrm>
                    <a:off x="0" y="0"/>
                    <a:ext cx="2131060" cy="746760"/>
                  </a:xfrm>
                  <a:prstGeom prst="rect">
                    <a:avLst/>
                  </a:prstGeom>
                </pic:spPr>
              </pic:pic>
            </a:graphicData>
          </a:graphic>
          <wp14:sizeRelH relativeFrom="margin">
            <wp14:pctWidth>0</wp14:pctWidth>
          </wp14:sizeRelH>
          <wp14:sizeRelV relativeFrom="margin">
            <wp14:pctHeight>0</wp14:pctHeight>
          </wp14:sizeRelV>
        </wp:anchor>
      </w:drawing>
    </w:r>
    <w:r w:rsidR="002460BB">
      <w:t>Build-Out Analysis</w:t>
    </w:r>
  </w:p>
  <w:p w14:paraId="1FC90A20" w14:textId="4231B106" w:rsidR="002C154F" w:rsidRDefault="005507AB" w:rsidP="002460BB">
    <w:pPr>
      <w:pStyle w:val="Subtitle"/>
    </w:pPr>
    <w:r>
      <w:t xml:space="preserve">Projecting </w:t>
    </w:r>
    <w:r w:rsidR="00BD4C3F">
      <w:t>the Impact of</w:t>
    </w:r>
    <w:r>
      <w:t xml:space="preserve"> Current Law</w:t>
    </w:r>
    <w:r w:rsidR="00BD4C3F">
      <w:t xml:space="preserve"> on Future Development</w:t>
    </w:r>
  </w:p>
  <w:p w14:paraId="366A02D7" w14:textId="5514AC48" w:rsidR="00830C00" w:rsidRPr="00B80F42" w:rsidRDefault="002460BB" w:rsidP="00C2281E">
    <w:pPr>
      <w:pStyle w:val="Blurb"/>
    </w:pPr>
    <w:r w:rsidRPr="002460BB">
      <w:t xml:space="preserve">A build-out analysis projects the </w:t>
    </w:r>
    <w:r>
      <w:t xml:space="preserve">development that could occur in an </w:t>
    </w:r>
    <w:r w:rsidRPr="002460BB">
      <w:t xml:space="preserve">area </w:t>
    </w:r>
    <w:r>
      <w:t>under</w:t>
    </w:r>
    <w:r w:rsidRPr="002460BB">
      <w:t xml:space="preserve"> current </w:t>
    </w:r>
    <w:r>
      <w:t>law</w:t>
    </w:r>
    <w:r w:rsidRPr="002460BB">
      <w:t>. It enables a community to test the reality of its development regulations against its vision for its future.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F4093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AB4B642"/>
    <w:lvl w:ilvl="0">
      <w:start w:val="1"/>
      <w:numFmt w:val="decimal"/>
      <w:lvlText w:val="%1."/>
      <w:lvlJc w:val="left"/>
      <w:pPr>
        <w:tabs>
          <w:tab w:val="num" w:pos="1800"/>
        </w:tabs>
        <w:ind w:left="1800" w:hanging="360"/>
      </w:pPr>
    </w:lvl>
  </w:abstractNum>
  <w:abstractNum w:abstractNumId="2">
    <w:nsid w:val="FFFFFF7D"/>
    <w:multiLevelType w:val="singleLevel"/>
    <w:tmpl w:val="8B3261B6"/>
    <w:lvl w:ilvl="0">
      <w:start w:val="1"/>
      <w:numFmt w:val="decimal"/>
      <w:lvlText w:val="%1."/>
      <w:lvlJc w:val="left"/>
      <w:pPr>
        <w:tabs>
          <w:tab w:val="num" w:pos="1440"/>
        </w:tabs>
        <w:ind w:left="1440" w:hanging="360"/>
      </w:pPr>
    </w:lvl>
  </w:abstractNum>
  <w:abstractNum w:abstractNumId="3">
    <w:nsid w:val="FFFFFF7E"/>
    <w:multiLevelType w:val="singleLevel"/>
    <w:tmpl w:val="0BFC08AC"/>
    <w:lvl w:ilvl="0">
      <w:start w:val="1"/>
      <w:numFmt w:val="decimal"/>
      <w:lvlText w:val="%1."/>
      <w:lvlJc w:val="left"/>
      <w:pPr>
        <w:tabs>
          <w:tab w:val="num" w:pos="1080"/>
        </w:tabs>
        <w:ind w:left="1080" w:hanging="360"/>
      </w:pPr>
    </w:lvl>
  </w:abstractNum>
  <w:abstractNum w:abstractNumId="4">
    <w:nsid w:val="FFFFFF80"/>
    <w:multiLevelType w:val="singleLevel"/>
    <w:tmpl w:val="F29E42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1A57B0"/>
    <w:lvl w:ilvl="0">
      <w:start w:val="1"/>
      <w:numFmt w:val="bullet"/>
      <w:lvlText w:val=""/>
      <w:lvlJc w:val="left"/>
      <w:pPr>
        <w:tabs>
          <w:tab w:val="num" w:pos="1440"/>
        </w:tabs>
        <w:ind w:left="1440" w:hanging="360"/>
      </w:pPr>
      <w:rPr>
        <w:rFonts w:ascii="Symbol" w:hAnsi="Symbol" w:hint="default"/>
      </w:rPr>
    </w:lvl>
  </w:abstractNum>
  <w:abstractNum w:abstractNumId="6">
    <w:nsid w:val="FFFFFF83"/>
    <w:multiLevelType w:val="singleLevel"/>
    <w:tmpl w:val="3F0C33EA"/>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E098D8C4"/>
    <w:lvl w:ilvl="0">
      <w:start w:val="1"/>
      <w:numFmt w:val="decimal"/>
      <w:pStyle w:val="ListNumber"/>
      <w:lvlText w:val="%1."/>
      <w:lvlJc w:val="left"/>
      <w:pPr>
        <w:tabs>
          <w:tab w:val="num" w:pos="360"/>
        </w:tabs>
        <w:ind w:left="360" w:hanging="360"/>
      </w:pPr>
    </w:lvl>
  </w:abstractNum>
  <w:abstractNum w:abstractNumId="8">
    <w:nsid w:val="FFFFFF89"/>
    <w:multiLevelType w:val="singleLevel"/>
    <w:tmpl w:val="D12E8F0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AA2256B"/>
    <w:multiLevelType w:val="hybridMultilevel"/>
    <w:tmpl w:val="62C228FA"/>
    <w:lvl w:ilvl="0" w:tplc="7A3811AA">
      <w:start w:val="1"/>
      <w:numFmt w:val="bullet"/>
      <w:lvlText w:val="•"/>
      <w:lvlJc w:val="left"/>
      <w:pPr>
        <w:tabs>
          <w:tab w:val="num" w:pos="720"/>
        </w:tabs>
        <w:ind w:left="720" w:hanging="360"/>
      </w:pPr>
      <w:rPr>
        <w:rFonts w:ascii="Arial" w:hAnsi="Arial" w:hint="default"/>
      </w:rPr>
    </w:lvl>
    <w:lvl w:ilvl="1" w:tplc="1256E7DA" w:tentative="1">
      <w:start w:val="1"/>
      <w:numFmt w:val="bullet"/>
      <w:lvlText w:val="•"/>
      <w:lvlJc w:val="left"/>
      <w:pPr>
        <w:tabs>
          <w:tab w:val="num" w:pos="1440"/>
        </w:tabs>
        <w:ind w:left="1440" w:hanging="360"/>
      </w:pPr>
      <w:rPr>
        <w:rFonts w:ascii="Arial" w:hAnsi="Arial" w:hint="default"/>
      </w:rPr>
    </w:lvl>
    <w:lvl w:ilvl="2" w:tplc="5CCECC6E" w:tentative="1">
      <w:start w:val="1"/>
      <w:numFmt w:val="bullet"/>
      <w:lvlText w:val="•"/>
      <w:lvlJc w:val="left"/>
      <w:pPr>
        <w:tabs>
          <w:tab w:val="num" w:pos="2160"/>
        </w:tabs>
        <w:ind w:left="2160" w:hanging="360"/>
      </w:pPr>
      <w:rPr>
        <w:rFonts w:ascii="Arial" w:hAnsi="Arial" w:hint="default"/>
      </w:rPr>
    </w:lvl>
    <w:lvl w:ilvl="3" w:tplc="288CF524" w:tentative="1">
      <w:start w:val="1"/>
      <w:numFmt w:val="bullet"/>
      <w:lvlText w:val="•"/>
      <w:lvlJc w:val="left"/>
      <w:pPr>
        <w:tabs>
          <w:tab w:val="num" w:pos="2880"/>
        </w:tabs>
        <w:ind w:left="2880" w:hanging="360"/>
      </w:pPr>
      <w:rPr>
        <w:rFonts w:ascii="Arial" w:hAnsi="Arial" w:hint="default"/>
      </w:rPr>
    </w:lvl>
    <w:lvl w:ilvl="4" w:tplc="2E6C2D12" w:tentative="1">
      <w:start w:val="1"/>
      <w:numFmt w:val="bullet"/>
      <w:lvlText w:val="•"/>
      <w:lvlJc w:val="left"/>
      <w:pPr>
        <w:tabs>
          <w:tab w:val="num" w:pos="3600"/>
        </w:tabs>
        <w:ind w:left="3600" w:hanging="360"/>
      </w:pPr>
      <w:rPr>
        <w:rFonts w:ascii="Arial" w:hAnsi="Arial" w:hint="default"/>
      </w:rPr>
    </w:lvl>
    <w:lvl w:ilvl="5" w:tplc="4FA4DF86" w:tentative="1">
      <w:start w:val="1"/>
      <w:numFmt w:val="bullet"/>
      <w:lvlText w:val="•"/>
      <w:lvlJc w:val="left"/>
      <w:pPr>
        <w:tabs>
          <w:tab w:val="num" w:pos="4320"/>
        </w:tabs>
        <w:ind w:left="4320" w:hanging="360"/>
      </w:pPr>
      <w:rPr>
        <w:rFonts w:ascii="Arial" w:hAnsi="Arial" w:hint="default"/>
      </w:rPr>
    </w:lvl>
    <w:lvl w:ilvl="6" w:tplc="9CD8A3A6" w:tentative="1">
      <w:start w:val="1"/>
      <w:numFmt w:val="bullet"/>
      <w:lvlText w:val="•"/>
      <w:lvlJc w:val="left"/>
      <w:pPr>
        <w:tabs>
          <w:tab w:val="num" w:pos="5040"/>
        </w:tabs>
        <w:ind w:left="5040" w:hanging="360"/>
      </w:pPr>
      <w:rPr>
        <w:rFonts w:ascii="Arial" w:hAnsi="Arial" w:hint="default"/>
      </w:rPr>
    </w:lvl>
    <w:lvl w:ilvl="7" w:tplc="8210178E" w:tentative="1">
      <w:start w:val="1"/>
      <w:numFmt w:val="bullet"/>
      <w:lvlText w:val="•"/>
      <w:lvlJc w:val="left"/>
      <w:pPr>
        <w:tabs>
          <w:tab w:val="num" w:pos="5760"/>
        </w:tabs>
        <w:ind w:left="5760" w:hanging="360"/>
      </w:pPr>
      <w:rPr>
        <w:rFonts w:ascii="Arial" w:hAnsi="Arial" w:hint="default"/>
      </w:rPr>
    </w:lvl>
    <w:lvl w:ilvl="8" w:tplc="29748F24" w:tentative="1">
      <w:start w:val="1"/>
      <w:numFmt w:val="bullet"/>
      <w:lvlText w:val="•"/>
      <w:lvlJc w:val="left"/>
      <w:pPr>
        <w:tabs>
          <w:tab w:val="num" w:pos="6480"/>
        </w:tabs>
        <w:ind w:left="6480" w:hanging="360"/>
      </w:pPr>
      <w:rPr>
        <w:rFonts w:ascii="Arial" w:hAnsi="Arial" w:hint="default"/>
      </w:rPr>
    </w:lvl>
  </w:abstractNum>
  <w:abstractNum w:abstractNumId="10">
    <w:nsid w:val="13DF7E5C"/>
    <w:multiLevelType w:val="hybridMultilevel"/>
    <w:tmpl w:val="E746F3F8"/>
    <w:lvl w:ilvl="0" w:tplc="3ACE64E8">
      <w:start w:val="1"/>
      <w:numFmt w:val="bullet"/>
      <w:lvlText w:val="•"/>
      <w:lvlJc w:val="left"/>
      <w:pPr>
        <w:tabs>
          <w:tab w:val="num" w:pos="720"/>
        </w:tabs>
        <w:ind w:left="720" w:hanging="360"/>
      </w:pPr>
      <w:rPr>
        <w:rFonts w:ascii="Arial" w:hAnsi="Arial" w:hint="default"/>
      </w:rPr>
    </w:lvl>
    <w:lvl w:ilvl="1" w:tplc="88F6B12E" w:tentative="1">
      <w:start w:val="1"/>
      <w:numFmt w:val="bullet"/>
      <w:lvlText w:val="•"/>
      <w:lvlJc w:val="left"/>
      <w:pPr>
        <w:tabs>
          <w:tab w:val="num" w:pos="1440"/>
        </w:tabs>
        <w:ind w:left="1440" w:hanging="360"/>
      </w:pPr>
      <w:rPr>
        <w:rFonts w:ascii="Arial" w:hAnsi="Arial" w:hint="default"/>
      </w:rPr>
    </w:lvl>
    <w:lvl w:ilvl="2" w:tplc="DC2895D6" w:tentative="1">
      <w:start w:val="1"/>
      <w:numFmt w:val="bullet"/>
      <w:lvlText w:val="•"/>
      <w:lvlJc w:val="left"/>
      <w:pPr>
        <w:tabs>
          <w:tab w:val="num" w:pos="2160"/>
        </w:tabs>
        <w:ind w:left="2160" w:hanging="360"/>
      </w:pPr>
      <w:rPr>
        <w:rFonts w:ascii="Arial" w:hAnsi="Arial" w:hint="default"/>
      </w:rPr>
    </w:lvl>
    <w:lvl w:ilvl="3" w:tplc="A8706A94" w:tentative="1">
      <w:start w:val="1"/>
      <w:numFmt w:val="bullet"/>
      <w:lvlText w:val="•"/>
      <w:lvlJc w:val="left"/>
      <w:pPr>
        <w:tabs>
          <w:tab w:val="num" w:pos="2880"/>
        </w:tabs>
        <w:ind w:left="2880" w:hanging="360"/>
      </w:pPr>
      <w:rPr>
        <w:rFonts w:ascii="Arial" w:hAnsi="Arial" w:hint="default"/>
      </w:rPr>
    </w:lvl>
    <w:lvl w:ilvl="4" w:tplc="20A4A552" w:tentative="1">
      <w:start w:val="1"/>
      <w:numFmt w:val="bullet"/>
      <w:lvlText w:val="•"/>
      <w:lvlJc w:val="left"/>
      <w:pPr>
        <w:tabs>
          <w:tab w:val="num" w:pos="3600"/>
        </w:tabs>
        <w:ind w:left="3600" w:hanging="360"/>
      </w:pPr>
      <w:rPr>
        <w:rFonts w:ascii="Arial" w:hAnsi="Arial" w:hint="default"/>
      </w:rPr>
    </w:lvl>
    <w:lvl w:ilvl="5" w:tplc="D9180EE0" w:tentative="1">
      <w:start w:val="1"/>
      <w:numFmt w:val="bullet"/>
      <w:lvlText w:val="•"/>
      <w:lvlJc w:val="left"/>
      <w:pPr>
        <w:tabs>
          <w:tab w:val="num" w:pos="4320"/>
        </w:tabs>
        <w:ind w:left="4320" w:hanging="360"/>
      </w:pPr>
      <w:rPr>
        <w:rFonts w:ascii="Arial" w:hAnsi="Arial" w:hint="default"/>
      </w:rPr>
    </w:lvl>
    <w:lvl w:ilvl="6" w:tplc="FA8C8ACA" w:tentative="1">
      <w:start w:val="1"/>
      <w:numFmt w:val="bullet"/>
      <w:lvlText w:val="•"/>
      <w:lvlJc w:val="left"/>
      <w:pPr>
        <w:tabs>
          <w:tab w:val="num" w:pos="5040"/>
        </w:tabs>
        <w:ind w:left="5040" w:hanging="360"/>
      </w:pPr>
      <w:rPr>
        <w:rFonts w:ascii="Arial" w:hAnsi="Arial" w:hint="default"/>
      </w:rPr>
    </w:lvl>
    <w:lvl w:ilvl="7" w:tplc="F412E3CA" w:tentative="1">
      <w:start w:val="1"/>
      <w:numFmt w:val="bullet"/>
      <w:lvlText w:val="•"/>
      <w:lvlJc w:val="left"/>
      <w:pPr>
        <w:tabs>
          <w:tab w:val="num" w:pos="5760"/>
        </w:tabs>
        <w:ind w:left="5760" w:hanging="360"/>
      </w:pPr>
      <w:rPr>
        <w:rFonts w:ascii="Arial" w:hAnsi="Arial" w:hint="default"/>
      </w:rPr>
    </w:lvl>
    <w:lvl w:ilvl="8" w:tplc="3B14D482" w:tentative="1">
      <w:start w:val="1"/>
      <w:numFmt w:val="bullet"/>
      <w:lvlText w:val="•"/>
      <w:lvlJc w:val="left"/>
      <w:pPr>
        <w:tabs>
          <w:tab w:val="num" w:pos="6480"/>
        </w:tabs>
        <w:ind w:left="6480" w:hanging="360"/>
      </w:pPr>
      <w:rPr>
        <w:rFonts w:ascii="Arial" w:hAnsi="Arial" w:hint="default"/>
      </w:rPr>
    </w:lvl>
  </w:abstractNum>
  <w:abstractNum w:abstractNumId="11">
    <w:nsid w:val="1EE86E58"/>
    <w:multiLevelType w:val="hybridMultilevel"/>
    <w:tmpl w:val="C998479E"/>
    <w:lvl w:ilvl="0" w:tplc="0409000F">
      <w:start w:val="1"/>
      <w:numFmt w:val="decimal"/>
      <w:lvlText w:val="%1."/>
      <w:lvlJc w:val="left"/>
      <w:pPr>
        <w:ind w:left="576" w:hanging="360"/>
      </w:pPr>
      <w:rPr>
        <w:rFonts w:hint="default"/>
      </w:rPr>
    </w:lvl>
    <w:lvl w:ilvl="1" w:tplc="D3A4B45E">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D44DB"/>
    <w:multiLevelType w:val="hybridMultilevel"/>
    <w:tmpl w:val="6C546D20"/>
    <w:lvl w:ilvl="0" w:tplc="EC04E9DE">
      <w:start w:val="1"/>
      <w:numFmt w:val="bullet"/>
      <w:lvlText w:val="•"/>
      <w:lvlJc w:val="left"/>
      <w:pPr>
        <w:tabs>
          <w:tab w:val="num" w:pos="720"/>
        </w:tabs>
        <w:ind w:left="720" w:hanging="360"/>
      </w:pPr>
      <w:rPr>
        <w:rFonts w:ascii="Arial" w:hAnsi="Arial" w:hint="default"/>
      </w:rPr>
    </w:lvl>
    <w:lvl w:ilvl="1" w:tplc="6D3ABC02" w:tentative="1">
      <w:start w:val="1"/>
      <w:numFmt w:val="bullet"/>
      <w:lvlText w:val="•"/>
      <w:lvlJc w:val="left"/>
      <w:pPr>
        <w:tabs>
          <w:tab w:val="num" w:pos="1440"/>
        </w:tabs>
        <w:ind w:left="1440" w:hanging="360"/>
      </w:pPr>
      <w:rPr>
        <w:rFonts w:ascii="Arial" w:hAnsi="Arial" w:hint="default"/>
      </w:rPr>
    </w:lvl>
    <w:lvl w:ilvl="2" w:tplc="4762FDA0" w:tentative="1">
      <w:start w:val="1"/>
      <w:numFmt w:val="bullet"/>
      <w:lvlText w:val="•"/>
      <w:lvlJc w:val="left"/>
      <w:pPr>
        <w:tabs>
          <w:tab w:val="num" w:pos="2160"/>
        </w:tabs>
        <w:ind w:left="2160" w:hanging="360"/>
      </w:pPr>
      <w:rPr>
        <w:rFonts w:ascii="Arial" w:hAnsi="Arial" w:hint="default"/>
      </w:rPr>
    </w:lvl>
    <w:lvl w:ilvl="3" w:tplc="7344628A" w:tentative="1">
      <w:start w:val="1"/>
      <w:numFmt w:val="bullet"/>
      <w:lvlText w:val="•"/>
      <w:lvlJc w:val="left"/>
      <w:pPr>
        <w:tabs>
          <w:tab w:val="num" w:pos="2880"/>
        </w:tabs>
        <w:ind w:left="2880" w:hanging="360"/>
      </w:pPr>
      <w:rPr>
        <w:rFonts w:ascii="Arial" w:hAnsi="Arial" w:hint="default"/>
      </w:rPr>
    </w:lvl>
    <w:lvl w:ilvl="4" w:tplc="DAB6FFD8" w:tentative="1">
      <w:start w:val="1"/>
      <w:numFmt w:val="bullet"/>
      <w:lvlText w:val="•"/>
      <w:lvlJc w:val="left"/>
      <w:pPr>
        <w:tabs>
          <w:tab w:val="num" w:pos="3600"/>
        </w:tabs>
        <w:ind w:left="3600" w:hanging="360"/>
      </w:pPr>
      <w:rPr>
        <w:rFonts w:ascii="Arial" w:hAnsi="Arial" w:hint="default"/>
      </w:rPr>
    </w:lvl>
    <w:lvl w:ilvl="5" w:tplc="C1462256" w:tentative="1">
      <w:start w:val="1"/>
      <w:numFmt w:val="bullet"/>
      <w:lvlText w:val="•"/>
      <w:lvlJc w:val="left"/>
      <w:pPr>
        <w:tabs>
          <w:tab w:val="num" w:pos="4320"/>
        </w:tabs>
        <w:ind w:left="4320" w:hanging="360"/>
      </w:pPr>
      <w:rPr>
        <w:rFonts w:ascii="Arial" w:hAnsi="Arial" w:hint="default"/>
      </w:rPr>
    </w:lvl>
    <w:lvl w:ilvl="6" w:tplc="A3A0D112" w:tentative="1">
      <w:start w:val="1"/>
      <w:numFmt w:val="bullet"/>
      <w:lvlText w:val="•"/>
      <w:lvlJc w:val="left"/>
      <w:pPr>
        <w:tabs>
          <w:tab w:val="num" w:pos="5040"/>
        </w:tabs>
        <w:ind w:left="5040" w:hanging="360"/>
      </w:pPr>
      <w:rPr>
        <w:rFonts w:ascii="Arial" w:hAnsi="Arial" w:hint="default"/>
      </w:rPr>
    </w:lvl>
    <w:lvl w:ilvl="7" w:tplc="1EF62D8C" w:tentative="1">
      <w:start w:val="1"/>
      <w:numFmt w:val="bullet"/>
      <w:lvlText w:val="•"/>
      <w:lvlJc w:val="left"/>
      <w:pPr>
        <w:tabs>
          <w:tab w:val="num" w:pos="5760"/>
        </w:tabs>
        <w:ind w:left="5760" w:hanging="360"/>
      </w:pPr>
      <w:rPr>
        <w:rFonts w:ascii="Arial" w:hAnsi="Arial" w:hint="default"/>
      </w:rPr>
    </w:lvl>
    <w:lvl w:ilvl="8" w:tplc="DE5C1704" w:tentative="1">
      <w:start w:val="1"/>
      <w:numFmt w:val="bullet"/>
      <w:lvlText w:val="•"/>
      <w:lvlJc w:val="left"/>
      <w:pPr>
        <w:tabs>
          <w:tab w:val="num" w:pos="6480"/>
        </w:tabs>
        <w:ind w:left="6480" w:hanging="360"/>
      </w:pPr>
      <w:rPr>
        <w:rFonts w:ascii="Arial" w:hAnsi="Arial" w:hint="default"/>
      </w:rPr>
    </w:lvl>
  </w:abstractNum>
  <w:abstractNum w:abstractNumId="13">
    <w:nsid w:val="33D36C88"/>
    <w:multiLevelType w:val="hybridMultilevel"/>
    <w:tmpl w:val="F3883EF2"/>
    <w:lvl w:ilvl="0" w:tplc="1EEA3EE6">
      <w:start w:val="1"/>
      <w:numFmt w:val="bullet"/>
      <w:lvlText w:val="•"/>
      <w:lvlJc w:val="left"/>
      <w:pPr>
        <w:tabs>
          <w:tab w:val="num" w:pos="720"/>
        </w:tabs>
        <w:ind w:left="720" w:hanging="360"/>
      </w:pPr>
      <w:rPr>
        <w:rFonts w:ascii="Arial" w:hAnsi="Arial" w:hint="default"/>
      </w:rPr>
    </w:lvl>
    <w:lvl w:ilvl="1" w:tplc="526EC542">
      <w:start w:val="1"/>
      <w:numFmt w:val="bullet"/>
      <w:lvlText w:val="•"/>
      <w:lvlJc w:val="left"/>
      <w:pPr>
        <w:tabs>
          <w:tab w:val="num" w:pos="1440"/>
        </w:tabs>
        <w:ind w:left="1440" w:hanging="360"/>
      </w:pPr>
      <w:rPr>
        <w:rFonts w:ascii="Arial" w:hAnsi="Arial" w:hint="default"/>
      </w:rPr>
    </w:lvl>
    <w:lvl w:ilvl="2" w:tplc="1FBCF324" w:tentative="1">
      <w:start w:val="1"/>
      <w:numFmt w:val="bullet"/>
      <w:lvlText w:val="•"/>
      <w:lvlJc w:val="left"/>
      <w:pPr>
        <w:tabs>
          <w:tab w:val="num" w:pos="2160"/>
        </w:tabs>
        <w:ind w:left="2160" w:hanging="360"/>
      </w:pPr>
      <w:rPr>
        <w:rFonts w:ascii="Arial" w:hAnsi="Arial" w:hint="default"/>
      </w:rPr>
    </w:lvl>
    <w:lvl w:ilvl="3" w:tplc="460EEC1C" w:tentative="1">
      <w:start w:val="1"/>
      <w:numFmt w:val="bullet"/>
      <w:lvlText w:val="•"/>
      <w:lvlJc w:val="left"/>
      <w:pPr>
        <w:tabs>
          <w:tab w:val="num" w:pos="2880"/>
        </w:tabs>
        <w:ind w:left="2880" w:hanging="360"/>
      </w:pPr>
      <w:rPr>
        <w:rFonts w:ascii="Arial" w:hAnsi="Arial" w:hint="default"/>
      </w:rPr>
    </w:lvl>
    <w:lvl w:ilvl="4" w:tplc="7F0EE4B2" w:tentative="1">
      <w:start w:val="1"/>
      <w:numFmt w:val="bullet"/>
      <w:lvlText w:val="•"/>
      <w:lvlJc w:val="left"/>
      <w:pPr>
        <w:tabs>
          <w:tab w:val="num" w:pos="3600"/>
        </w:tabs>
        <w:ind w:left="3600" w:hanging="360"/>
      </w:pPr>
      <w:rPr>
        <w:rFonts w:ascii="Arial" w:hAnsi="Arial" w:hint="default"/>
      </w:rPr>
    </w:lvl>
    <w:lvl w:ilvl="5" w:tplc="4468A740" w:tentative="1">
      <w:start w:val="1"/>
      <w:numFmt w:val="bullet"/>
      <w:lvlText w:val="•"/>
      <w:lvlJc w:val="left"/>
      <w:pPr>
        <w:tabs>
          <w:tab w:val="num" w:pos="4320"/>
        </w:tabs>
        <w:ind w:left="4320" w:hanging="360"/>
      </w:pPr>
      <w:rPr>
        <w:rFonts w:ascii="Arial" w:hAnsi="Arial" w:hint="default"/>
      </w:rPr>
    </w:lvl>
    <w:lvl w:ilvl="6" w:tplc="C97E695E" w:tentative="1">
      <w:start w:val="1"/>
      <w:numFmt w:val="bullet"/>
      <w:lvlText w:val="•"/>
      <w:lvlJc w:val="left"/>
      <w:pPr>
        <w:tabs>
          <w:tab w:val="num" w:pos="5040"/>
        </w:tabs>
        <w:ind w:left="5040" w:hanging="360"/>
      </w:pPr>
      <w:rPr>
        <w:rFonts w:ascii="Arial" w:hAnsi="Arial" w:hint="default"/>
      </w:rPr>
    </w:lvl>
    <w:lvl w:ilvl="7" w:tplc="B0E6FA8A" w:tentative="1">
      <w:start w:val="1"/>
      <w:numFmt w:val="bullet"/>
      <w:lvlText w:val="•"/>
      <w:lvlJc w:val="left"/>
      <w:pPr>
        <w:tabs>
          <w:tab w:val="num" w:pos="5760"/>
        </w:tabs>
        <w:ind w:left="5760" w:hanging="360"/>
      </w:pPr>
      <w:rPr>
        <w:rFonts w:ascii="Arial" w:hAnsi="Arial" w:hint="default"/>
      </w:rPr>
    </w:lvl>
    <w:lvl w:ilvl="8" w:tplc="39C460FC" w:tentative="1">
      <w:start w:val="1"/>
      <w:numFmt w:val="bullet"/>
      <w:lvlText w:val="•"/>
      <w:lvlJc w:val="left"/>
      <w:pPr>
        <w:tabs>
          <w:tab w:val="num" w:pos="6480"/>
        </w:tabs>
        <w:ind w:left="6480" w:hanging="360"/>
      </w:pPr>
      <w:rPr>
        <w:rFonts w:ascii="Arial" w:hAnsi="Arial" w:hint="default"/>
      </w:rPr>
    </w:lvl>
  </w:abstractNum>
  <w:abstractNum w:abstractNumId="14">
    <w:nsid w:val="34FE20B5"/>
    <w:multiLevelType w:val="hybridMultilevel"/>
    <w:tmpl w:val="EB2A2B74"/>
    <w:lvl w:ilvl="0" w:tplc="8BACEA92">
      <w:start w:val="1"/>
      <w:numFmt w:val="bullet"/>
      <w:lvlText w:val="•"/>
      <w:lvlJc w:val="left"/>
      <w:pPr>
        <w:tabs>
          <w:tab w:val="num" w:pos="720"/>
        </w:tabs>
        <w:ind w:left="720" w:hanging="360"/>
      </w:pPr>
      <w:rPr>
        <w:rFonts w:ascii="Arial" w:hAnsi="Arial" w:hint="default"/>
      </w:rPr>
    </w:lvl>
    <w:lvl w:ilvl="1" w:tplc="A20E82D2">
      <w:numFmt w:val="bullet"/>
      <w:lvlText w:val="–"/>
      <w:lvlJc w:val="left"/>
      <w:pPr>
        <w:tabs>
          <w:tab w:val="num" w:pos="1440"/>
        </w:tabs>
        <w:ind w:left="1440" w:hanging="360"/>
      </w:pPr>
      <w:rPr>
        <w:rFonts w:ascii="Arial" w:hAnsi="Arial" w:hint="default"/>
      </w:rPr>
    </w:lvl>
    <w:lvl w:ilvl="2" w:tplc="2424E2EA" w:tentative="1">
      <w:start w:val="1"/>
      <w:numFmt w:val="bullet"/>
      <w:lvlText w:val="•"/>
      <w:lvlJc w:val="left"/>
      <w:pPr>
        <w:tabs>
          <w:tab w:val="num" w:pos="2160"/>
        </w:tabs>
        <w:ind w:left="2160" w:hanging="360"/>
      </w:pPr>
      <w:rPr>
        <w:rFonts w:ascii="Arial" w:hAnsi="Arial" w:hint="default"/>
      </w:rPr>
    </w:lvl>
    <w:lvl w:ilvl="3" w:tplc="CD6AE8B6" w:tentative="1">
      <w:start w:val="1"/>
      <w:numFmt w:val="bullet"/>
      <w:lvlText w:val="•"/>
      <w:lvlJc w:val="left"/>
      <w:pPr>
        <w:tabs>
          <w:tab w:val="num" w:pos="2880"/>
        </w:tabs>
        <w:ind w:left="2880" w:hanging="360"/>
      </w:pPr>
      <w:rPr>
        <w:rFonts w:ascii="Arial" w:hAnsi="Arial" w:hint="default"/>
      </w:rPr>
    </w:lvl>
    <w:lvl w:ilvl="4" w:tplc="28686616" w:tentative="1">
      <w:start w:val="1"/>
      <w:numFmt w:val="bullet"/>
      <w:lvlText w:val="•"/>
      <w:lvlJc w:val="left"/>
      <w:pPr>
        <w:tabs>
          <w:tab w:val="num" w:pos="3600"/>
        </w:tabs>
        <w:ind w:left="3600" w:hanging="360"/>
      </w:pPr>
      <w:rPr>
        <w:rFonts w:ascii="Arial" w:hAnsi="Arial" w:hint="default"/>
      </w:rPr>
    </w:lvl>
    <w:lvl w:ilvl="5" w:tplc="C31A5DA8" w:tentative="1">
      <w:start w:val="1"/>
      <w:numFmt w:val="bullet"/>
      <w:lvlText w:val="•"/>
      <w:lvlJc w:val="left"/>
      <w:pPr>
        <w:tabs>
          <w:tab w:val="num" w:pos="4320"/>
        </w:tabs>
        <w:ind w:left="4320" w:hanging="360"/>
      </w:pPr>
      <w:rPr>
        <w:rFonts w:ascii="Arial" w:hAnsi="Arial" w:hint="default"/>
      </w:rPr>
    </w:lvl>
    <w:lvl w:ilvl="6" w:tplc="903CE11E" w:tentative="1">
      <w:start w:val="1"/>
      <w:numFmt w:val="bullet"/>
      <w:lvlText w:val="•"/>
      <w:lvlJc w:val="left"/>
      <w:pPr>
        <w:tabs>
          <w:tab w:val="num" w:pos="5040"/>
        </w:tabs>
        <w:ind w:left="5040" w:hanging="360"/>
      </w:pPr>
      <w:rPr>
        <w:rFonts w:ascii="Arial" w:hAnsi="Arial" w:hint="default"/>
      </w:rPr>
    </w:lvl>
    <w:lvl w:ilvl="7" w:tplc="CF0A3122" w:tentative="1">
      <w:start w:val="1"/>
      <w:numFmt w:val="bullet"/>
      <w:lvlText w:val="•"/>
      <w:lvlJc w:val="left"/>
      <w:pPr>
        <w:tabs>
          <w:tab w:val="num" w:pos="5760"/>
        </w:tabs>
        <w:ind w:left="5760" w:hanging="360"/>
      </w:pPr>
      <w:rPr>
        <w:rFonts w:ascii="Arial" w:hAnsi="Arial" w:hint="default"/>
      </w:rPr>
    </w:lvl>
    <w:lvl w:ilvl="8" w:tplc="53928ED4" w:tentative="1">
      <w:start w:val="1"/>
      <w:numFmt w:val="bullet"/>
      <w:lvlText w:val="•"/>
      <w:lvlJc w:val="left"/>
      <w:pPr>
        <w:tabs>
          <w:tab w:val="num" w:pos="6480"/>
        </w:tabs>
        <w:ind w:left="6480" w:hanging="360"/>
      </w:pPr>
      <w:rPr>
        <w:rFonts w:ascii="Arial" w:hAnsi="Arial" w:hint="default"/>
      </w:rPr>
    </w:lvl>
  </w:abstractNum>
  <w:abstractNum w:abstractNumId="15">
    <w:nsid w:val="3E3D6485"/>
    <w:multiLevelType w:val="hybridMultilevel"/>
    <w:tmpl w:val="20A84D5C"/>
    <w:lvl w:ilvl="0" w:tplc="30C44B96">
      <w:start w:val="1"/>
      <w:numFmt w:val="bullet"/>
      <w:lvlText w:val="•"/>
      <w:lvlJc w:val="left"/>
      <w:pPr>
        <w:tabs>
          <w:tab w:val="num" w:pos="720"/>
        </w:tabs>
        <w:ind w:left="720" w:hanging="360"/>
      </w:pPr>
      <w:rPr>
        <w:rFonts w:ascii="Arial" w:hAnsi="Arial" w:hint="default"/>
      </w:rPr>
    </w:lvl>
    <w:lvl w:ilvl="1" w:tplc="1362068A" w:tentative="1">
      <w:start w:val="1"/>
      <w:numFmt w:val="bullet"/>
      <w:lvlText w:val="•"/>
      <w:lvlJc w:val="left"/>
      <w:pPr>
        <w:tabs>
          <w:tab w:val="num" w:pos="1440"/>
        </w:tabs>
        <w:ind w:left="1440" w:hanging="360"/>
      </w:pPr>
      <w:rPr>
        <w:rFonts w:ascii="Arial" w:hAnsi="Arial" w:hint="default"/>
      </w:rPr>
    </w:lvl>
    <w:lvl w:ilvl="2" w:tplc="1DEAFAD0" w:tentative="1">
      <w:start w:val="1"/>
      <w:numFmt w:val="bullet"/>
      <w:lvlText w:val="•"/>
      <w:lvlJc w:val="left"/>
      <w:pPr>
        <w:tabs>
          <w:tab w:val="num" w:pos="2160"/>
        </w:tabs>
        <w:ind w:left="2160" w:hanging="360"/>
      </w:pPr>
      <w:rPr>
        <w:rFonts w:ascii="Arial" w:hAnsi="Arial" w:hint="default"/>
      </w:rPr>
    </w:lvl>
    <w:lvl w:ilvl="3" w:tplc="B354236E" w:tentative="1">
      <w:start w:val="1"/>
      <w:numFmt w:val="bullet"/>
      <w:lvlText w:val="•"/>
      <w:lvlJc w:val="left"/>
      <w:pPr>
        <w:tabs>
          <w:tab w:val="num" w:pos="2880"/>
        </w:tabs>
        <w:ind w:left="2880" w:hanging="360"/>
      </w:pPr>
      <w:rPr>
        <w:rFonts w:ascii="Arial" w:hAnsi="Arial" w:hint="default"/>
      </w:rPr>
    </w:lvl>
    <w:lvl w:ilvl="4" w:tplc="BBC62FB4" w:tentative="1">
      <w:start w:val="1"/>
      <w:numFmt w:val="bullet"/>
      <w:lvlText w:val="•"/>
      <w:lvlJc w:val="left"/>
      <w:pPr>
        <w:tabs>
          <w:tab w:val="num" w:pos="3600"/>
        </w:tabs>
        <w:ind w:left="3600" w:hanging="360"/>
      </w:pPr>
      <w:rPr>
        <w:rFonts w:ascii="Arial" w:hAnsi="Arial" w:hint="default"/>
      </w:rPr>
    </w:lvl>
    <w:lvl w:ilvl="5" w:tplc="5558735E" w:tentative="1">
      <w:start w:val="1"/>
      <w:numFmt w:val="bullet"/>
      <w:lvlText w:val="•"/>
      <w:lvlJc w:val="left"/>
      <w:pPr>
        <w:tabs>
          <w:tab w:val="num" w:pos="4320"/>
        </w:tabs>
        <w:ind w:left="4320" w:hanging="360"/>
      </w:pPr>
      <w:rPr>
        <w:rFonts w:ascii="Arial" w:hAnsi="Arial" w:hint="default"/>
      </w:rPr>
    </w:lvl>
    <w:lvl w:ilvl="6" w:tplc="7FC62D8C" w:tentative="1">
      <w:start w:val="1"/>
      <w:numFmt w:val="bullet"/>
      <w:lvlText w:val="•"/>
      <w:lvlJc w:val="left"/>
      <w:pPr>
        <w:tabs>
          <w:tab w:val="num" w:pos="5040"/>
        </w:tabs>
        <w:ind w:left="5040" w:hanging="360"/>
      </w:pPr>
      <w:rPr>
        <w:rFonts w:ascii="Arial" w:hAnsi="Arial" w:hint="default"/>
      </w:rPr>
    </w:lvl>
    <w:lvl w:ilvl="7" w:tplc="9F18C1D2" w:tentative="1">
      <w:start w:val="1"/>
      <w:numFmt w:val="bullet"/>
      <w:lvlText w:val="•"/>
      <w:lvlJc w:val="left"/>
      <w:pPr>
        <w:tabs>
          <w:tab w:val="num" w:pos="5760"/>
        </w:tabs>
        <w:ind w:left="5760" w:hanging="360"/>
      </w:pPr>
      <w:rPr>
        <w:rFonts w:ascii="Arial" w:hAnsi="Arial" w:hint="default"/>
      </w:rPr>
    </w:lvl>
    <w:lvl w:ilvl="8" w:tplc="0BE25800" w:tentative="1">
      <w:start w:val="1"/>
      <w:numFmt w:val="bullet"/>
      <w:lvlText w:val="•"/>
      <w:lvlJc w:val="left"/>
      <w:pPr>
        <w:tabs>
          <w:tab w:val="num" w:pos="6480"/>
        </w:tabs>
        <w:ind w:left="6480" w:hanging="360"/>
      </w:pPr>
      <w:rPr>
        <w:rFonts w:ascii="Arial" w:hAnsi="Arial" w:hint="default"/>
      </w:rPr>
    </w:lvl>
  </w:abstractNum>
  <w:abstractNum w:abstractNumId="16">
    <w:nsid w:val="425D2AAF"/>
    <w:multiLevelType w:val="hybridMultilevel"/>
    <w:tmpl w:val="31D29732"/>
    <w:lvl w:ilvl="0" w:tplc="E7F43508">
      <w:start w:val="1"/>
      <w:numFmt w:val="bullet"/>
      <w:pStyle w:val="BodyBullet"/>
      <w:lvlText w:val=""/>
      <w:lvlJc w:val="left"/>
      <w:pPr>
        <w:tabs>
          <w:tab w:val="num" w:pos="432"/>
        </w:tabs>
        <w:ind w:left="432" w:hanging="216"/>
      </w:pPr>
      <w:rPr>
        <w:rFonts w:ascii="Symbol" w:hAnsi="Symbol" w:hint="default"/>
      </w:rPr>
    </w:lvl>
    <w:lvl w:ilvl="1" w:tplc="D3A4B45E">
      <w:start w:val="1"/>
      <w:numFmt w:val="bullet"/>
      <w:pStyle w:val="BodyBullet2"/>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B57F8E"/>
    <w:multiLevelType w:val="multilevel"/>
    <w:tmpl w:val="8E166140"/>
    <w:lvl w:ilvl="0">
      <w:start w:val="1"/>
      <w:numFmt w:val="decimal"/>
      <w:lvlText w:val="%1."/>
      <w:lvlJc w:val="left"/>
      <w:pPr>
        <w:tabs>
          <w:tab w:val="num" w:pos="360"/>
        </w:tabs>
        <w:ind w:left="0" w:firstLine="0"/>
      </w:pPr>
    </w:lvl>
    <w:lvl w:ilvl="1">
      <w:start w:val="1"/>
      <w:numFmt w:val="none"/>
      <w:isLgl/>
      <w:lvlText w:val="(a)"/>
      <w:lvlJc w:val="left"/>
      <w:pPr>
        <w:tabs>
          <w:tab w:val="num" w:pos="1080"/>
        </w:tabs>
        <w:ind w:left="720" w:firstLine="0"/>
      </w:pPr>
      <w:rPr>
        <w:rFonts w:ascii="Times New Roman" w:hAnsi="Times New Roman" w:hint="default"/>
        <w:b w:val="0"/>
        <w:i w:val="0"/>
        <w:sz w:val="24"/>
      </w:rPr>
    </w:lvl>
    <w:lvl w:ilvl="2">
      <w:start w:val="1"/>
      <w:numFmt w:val="lowerRoman"/>
      <w:lvlText w:val="(%3)"/>
      <w:lvlJc w:val="left"/>
      <w:pPr>
        <w:tabs>
          <w:tab w:val="num" w:pos="2160"/>
        </w:tabs>
        <w:ind w:left="720" w:firstLine="720"/>
      </w:pPr>
    </w:lvl>
    <w:lvl w:ilvl="3">
      <w:start w:val="1"/>
      <w:numFmt w:val="upperLetter"/>
      <w:pStyle w:val="SimpleAgreement"/>
      <w:lvlText w:val="(%4)"/>
      <w:lvlJc w:val="right"/>
      <w:pPr>
        <w:tabs>
          <w:tab w:val="num" w:pos="3240"/>
        </w:tabs>
        <w:ind w:left="2088" w:firstLine="792"/>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F8274F1"/>
    <w:multiLevelType w:val="hybridMultilevel"/>
    <w:tmpl w:val="0F86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442EF6"/>
    <w:multiLevelType w:val="multilevel"/>
    <w:tmpl w:val="7EB4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ED7347"/>
    <w:multiLevelType w:val="hybridMultilevel"/>
    <w:tmpl w:val="5E92A548"/>
    <w:lvl w:ilvl="0" w:tplc="25E417D6">
      <w:start w:val="1"/>
      <w:numFmt w:val="bullet"/>
      <w:lvlText w:val="•"/>
      <w:lvlJc w:val="left"/>
      <w:pPr>
        <w:tabs>
          <w:tab w:val="num" w:pos="720"/>
        </w:tabs>
        <w:ind w:left="720" w:hanging="360"/>
      </w:pPr>
      <w:rPr>
        <w:rFonts w:ascii="Arial" w:hAnsi="Arial" w:hint="default"/>
      </w:rPr>
    </w:lvl>
    <w:lvl w:ilvl="1" w:tplc="D38ADCA6" w:tentative="1">
      <w:start w:val="1"/>
      <w:numFmt w:val="bullet"/>
      <w:lvlText w:val="•"/>
      <w:lvlJc w:val="left"/>
      <w:pPr>
        <w:tabs>
          <w:tab w:val="num" w:pos="1440"/>
        </w:tabs>
        <w:ind w:left="1440" w:hanging="360"/>
      </w:pPr>
      <w:rPr>
        <w:rFonts w:ascii="Arial" w:hAnsi="Arial" w:hint="default"/>
      </w:rPr>
    </w:lvl>
    <w:lvl w:ilvl="2" w:tplc="513CD9D8" w:tentative="1">
      <w:start w:val="1"/>
      <w:numFmt w:val="bullet"/>
      <w:lvlText w:val="•"/>
      <w:lvlJc w:val="left"/>
      <w:pPr>
        <w:tabs>
          <w:tab w:val="num" w:pos="2160"/>
        </w:tabs>
        <w:ind w:left="2160" w:hanging="360"/>
      </w:pPr>
      <w:rPr>
        <w:rFonts w:ascii="Arial" w:hAnsi="Arial" w:hint="default"/>
      </w:rPr>
    </w:lvl>
    <w:lvl w:ilvl="3" w:tplc="C2EA0042" w:tentative="1">
      <w:start w:val="1"/>
      <w:numFmt w:val="bullet"/>
      <w:lvlText w:val="•"/>
      <w:lvlJc w:val="left"/>
      <w:pPr>
        <w:tabs>
          <w:tab w:val="num" w:pos="2880"/>
        </w:tabs>
        <w:ind w:left="2880" w:hanging="360"/>
      </w:pPr>
      <w:rPr>
        <w:rFonts w:ascii="Arial" w:hAnsi="Arial" w:hint="default"/>
      </w:rPr>
    </w:lvl>
    <w:lvl w:ilvl="4" w:tplc="33D000BC" w:tentative="1">
      <w:start w:val="1"/>
      <w:numFmt w:val="bullet"/>
      <w:lvlText w:val="•"/>
      <w:lvlJc w:val="left"/>
      <w:pPr>
        <w:tabs>
          <w:tab w:val="num" w:pos="3600"/>
        </w:tabs>
        <w:ind w:left="3600" w:hanging="360"/>
      </w:pPr>
      <w:rPr>
        <w:rFonts w:ascii="Arial" w:hAnsi="Arial" w:hint="default"/>
      </w:rPr>
    </w:lvl>
    <w:lvl w:ilvl="5" w:tplc="9D4CE044" w:tentative="1">
      <w:start w:val="1"/>
      <w:numFmt w:val="bullet"/>
      <w:lvlText w:val="•"/>
      <w:lvlJc w:val="left"/>
      <w:pPr>
        <w:tabs>
          <w:tab w:val="num" w:pos="4320"/>
        </w:tabs>
        <w:ind w:left="4320" w:hanging="360"/>
      </w:pPr>
      <w:rPr>
        <w:rFonts w:ascii="Arial" w:hAnsi="Arial" w:hint="default"/>
      </w:rPr>
    </w:lvl>
    <w:lvl w:ilvl="6" w:tplc="1BA03C9C" w:tentative="1">
      <w:start w:val="1"/>
      <w:numFmt w:val="bullet"/>
      <w:lvlText w:val="•"/>
      <w:lvlJc w:val="left"/>
      <w:pPr>
        <w:tabs>
          <w:tab w:val="num" w:pos="5040"/>
        </w:tabs>
        <w:ind w:left="5040" w:hanging="360"/>
      </w:pPr>
      <w:rPr>
        <w:rFonts w:ascii="Arial" w:hAnsi="Arial" w:hint="default"/>
      </w:rPr>
    </w:lvl>
    <w:lvl w:ilvl="7" w:tplc="ADA29210" w:tentative="1">
      <w:start w:val="1"/>
      <w:numFmt w:val="bullet"/>
      <w:lvlText w:val="•"/>
      <w:lvlJc w:val="left"/>
      <w:pPr>
        <w:tabs>
          <w:tab w:val="num" w:pos="5760"/>
        </w:tabs>
        <w:ind w:left="5760" w:hanging="360"/>
      </w:pPr>
      <w:rPr>
        <w:rFonts w:ascii="Arial" w:hAnsi="Arial" w:hint="default"/>
      </w:rPr>
    </w:lvl>
    <w:lvl w:ilvl="8" w:tplc="113438D6" w:tentative="1">
      <w:start w:val="1"/>
      <w:numFmt w:val="bullet"/>
      <w:lvlText w:val="•"/>
      <w:lvlJc w:val="left"/>
      <w:pPr>
        <w:tabs>
          <w:tab w:val="num" w:pos="6480"/>
        </w:tabs>
        <w:ind w:left="6480" w:hanging="360"/>
      </w:pPr>
      <w:rPr>
        <w:rFonts w:ascii="Arial" w:hAnsi="Arial" w:hint="default"/>
      </w:rPr>
    </w:lvl>
  </w:abstractNum>
  <w:abstractNum w:abstractNumId="21">
    <w:nsid w:val="6F4A2AA6"/>
    <w:multiLevelType w:val="multilevel"/>
    <w:tmpl w:val="9724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E31331"/>
    <w:multiLevelType w:val="hybridMultilevel"/>
    <w:tmpl w:val="D63412E0"/>
    <w:lvl w:ilvl="0" w:tplc="89840D2A">
      <w:start w:val="1"/>
      <w:numFmt w:val="bullet"/>
      <w:lvlText w:val=""/>
      <w:lvlJc w:val="left"/>
      <w:pPr>
        <w:tabs>
          <w:tab w:val="num" w:pos="720"/>
        </w:tabs>
        <w:ind w:left="720" w:hanging="360"/>
      </w:pPr>
      <w:rPr>
        <w:rFonts w:ascii="Wingdings" w:hAnsi="Wingdings" w:hint="default"/>
      </w:rPr>
    </w:lvl>
    <w:lvl w:ilvl="1" w:tplc="7DF6E9D2">
      <w:numFmt w:val="bullet"/>
      <w:lvlText w:val=""/>
      <w:lvlJc w:val="left"/>
      <w:pPr>
        <w:tabs>
          <w:tab w:val="num" w:pos="1440"/>
        </w:tabs>
        <w:ind w:left="1440" w:hanging="360"/>
      </w:pPr>
      <w:rPr>
        <w:rFonts w:ascii="Wingdings" w:hAnsi="Wingdings" w:hint="default"/>
      </w:rPr>
    </w:lvl>
    <w:lvl w:ilvl="2" w:tplc="BC2203F2" w:tentative="1">
      <w:start w:val="1"/>
      <w:numFmt w:val="bullet"/>
      <w:lvlText w:val=""/>
      <w:lvlJc w:val="left"/>
      <w:pPr>
        <w:tabs>
          <w:tab w:val="num" w:pos="2160"/>
        </w:tabs>
        <w:ind w:left="2160" w:hanging="360"/>
      </w:pPr>
      <w:rPr>
        <w:rFonts w:ascii="Wingdings" w:hAnsi="Wingdings" w:hint="default"/>
      </w:rPr>
    </w:lvl>
    <w:lvl w:ilvl="3" w:tplc="CFFA5942" w:tentative="1">
      <w:start w:val="1"/>
      <w:numFmt w:val="bullet"/>
      <w:lvlText w:val=""/>
      <w:lvlJc w:val="left"/>
      <w:pPr>
        <w:tabs>
          <w:tab w:val="num" w:pos="2880"/>
        </w:tabs>
        <w:ind w:left="2880" w:hanging="360"/>
      </w:pPr>
      <w:rPr>
        <w:rFonts w:ascii="Wingdings" w:hAnsi="Wingdings" w:hint="default"/>
      </w:rPr>
    </w:lvl>
    <w:lvl w:ilvl="4" w:tplc="CC0ED8B8" w:tentative="1">
      <w:start w:val="1"/>
      <w:numFmt w:val="bullet"/>
      <w:lvlText w:val=""/>
      <w:lvlJc w:val="left"/>
      <w:pPr>
        <w:tabs>
          <w:tab w:val="num" w:pos="3600"/>
        </w:tabs>
        <w:ind w:left="3600" w:hanging="360"/>
      </w:pPr>
      <w:rPr>
        <w:rFonts w:ascii="Wingdings" w:hAnsi="Wingdings" w:hint="default"/>
      </w:rPr>
    </w:lvl>
    <w:lvl w:ilvl="5" w:tplc="BA0ABF5C" w:tentative="1">
      <w:start w:val="1"/>
      <w:numFmt w:val="bullet"/>
      <w:lvlText w:val=""/>
      <w:lvlJc w:val="left"/>
      <w:pPr>
        <w:tabs>
          <w:tab w:val="num" w:pos="4320"/>
        </w:tabs>
        <w:ind w:left="4320" w:hanging="360"/>
      </w:pPr>
      <w:rPr>
        <w:rFonts w:ascii="Wingdings" w:hAnsi="Wingdings" w:hint="default"/>
      </w:rPr>
    </w:lvl>
    <w:lvl w:ilvl="6" w:tplc="C2023840" w:tentative="1">
      <w:start w:val="1"/>
      <w:numFmt w:val="bullet"/>
      <w:lvlText w:val=""/>
      <w:lvlJc w:val="left"/>
      <w:pPr>
        <w:tabs>
          <w:tab w:val="num" w:pos="5040"/>
        </w:tabs>
        <w:ind w:left="5040" w:hanging="360"/>
      </w:pPr>
      <w:rPr>
        <w:rFonts w:ascii="Wingdings" w:hAnsi="Wingdings" w:hint="default"/>
      </w:rPr>
    </w:lvl>
    <w:lvl w:ilvl="7" w:tplc="4E7ECF10" w:tentative="1">
      <w:start w:val="1"/>
      <w:numFmt w:val="bullet"/>
      <w:lvlText w:val=""/>
      <w:lvlJc w:val="left"/>
      <w:pPr>
        <w:tabs>
          <w:tab w:val="num" w:pos="5760"/>
        </w:tabs>
        <w:ind w:left="5760" w:hanging="360"/>
      </w:pPr>
      <w:rPr>
        <w:rFonts w:ascii="Wingdings" w:hAnsi="Wingdings" w:hint="default"/>
      </w:rPr>
    </w:lvl>
    <w:lvl w:ilvl="8" w:tplc="3EEEB04C" w:tentative="1">
      <w:start w:val="1"/>
      <w:numFmt w:val="bullet"/>
      <w:lvlText w:val=""/>
      <w:lvlJc w:val="left"/>
      <w:pPr>
        <w:tabs>
          <w:tab w:val="num" w:pos="6480"/>
        </w:tabs>
        <w:ind w:left="6480" w:hanging="360"/>
      </w:pPr>
      <w:rPr>
        <w:rFonts w:ascii="Wingdings" w:hAnsi="Wingdings" w:hint="default"/>
      </w:rPr>
    </w:lvl>
  </w:abstractNum>
  <w:abstractNum w:abstractNumId="23">
    <w:nsid w:val="791C7502"/>
    <w:multiLevelType w:val="hybridMultilevel"/>
    <w:tmpl w:val="D26CF088"/>
    <w:lvl w:ilvl="0" w:tplc="4FD616DC">
      <w:start w:val="1"/>
      <w:numFmt w:val="bullet"/>
      <w:pStyle w:val="CommentBullet1"/>
      <w:lvlText w:val=""/>
      <w:lvlJc w:val="left"/>
      <w:pPr>
        <w:tabs>
          <w:tab w:val="num" w:pos="1080"/>
        </w:tabs>
        <w:ind w:left="1080" w:hanging="360"/>
      </w:pPr>
      <w:rPr>
        <w:rFonts w:ascii="Symbol" w:hAnsi="Symbol" w:cs="Lucida Grande" w:hint="default"/>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num w:numId="1">
    <w:abstractNumId w:val="16"/>
  </w:num>
  <w:num w:numId="2">
    <w:abstractNumId w:val="23"/>
  </w:num>
  <w:num w:numId="3">
    <w:abstractNumId w:val="8"/>
  </w:num>
  <w:num w:numId="4">
    <w:abstractNumId w:val="6"/>
  </w:num>
  <w:num w:numId="5">
    <w:abstractNumId w:val="17"/>
  </w:num>
  <w:num w:numId="6">
    <w:abstractNumId w:val="11"/>
  </w:num>
  <w:num w:numId="7">
    <w:abstractNumId w:val="18"/>
  </w:num>
  <w:num w:numId="8">
    <w:abstractNumId w:val="5"/>
  </w:num>
  <w:num w:numId="9">
    <w:abstractNumId w:val="4"/>
  </w:num>
  <w:num w:numId="10">
    <w:abstractNumId w:val="7"/>
  </w:num>
  <w:num w:numId="11">
    <w:abstractNumId w:val="3"/>
  </w:num>
  <w:num w:numId="12">
    <w:abstractNumId w:val="2"/>
  </w:num>
  <w:num w:numId="13">
    <w:abstractNumId w:val="1"/>
  </w:num>
  <w:num w:numId="14">
    <w:abstractNumId w:val="0"/>
  </w:num>
  <w:num w:numId="15">
    <w:abstractNumId w:val="19"/>
  </w:num>
  <w:num w:numId="16">
    <w:abstractNumId w:val="12"/>
  </w:num>
  <w:num w:numId="17">
    <w:abstractNumId w:val="14"/>
  </w:num>
  <w:num w:numId="18">
    <w:abstractNumId w:val="22"/>
  </w:num>
  <w:num w:numId="19">
    <w:abstractNumId w:val="9"/>
  </w:num>
  <w:num w:numId="20">
    <w:abstractNumId w:val="20"/>
  </w:num>
  <w:num w:numId="21">
    <w:abstractNumId w:val="13"/>
  </w:num>
  <w:num w:numId="22">
    <w:abstractNumId w:val="15"/>
  </w:num>
  <w:num w:numId="23">
    <w:abstractNumId w:val="10"/>
  </w:num>
  <w:num w:numId="2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consecutiveHyphenLimit w:val="1"/>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 w:name="ShowStaticGuides" w:val="1"/>
  </w:docVars>
  <w:rsids>
    <w:rsidRoot w:val="00991AE0"/>
    <w:rsid w:val="0000548D"/>
    <w:rsid w:val="00026219"/>
    <w:rsid w:val="0003407C"/>
    <w:rsid w:val="00037095"/>
    <w:rsid w:val="00037E9B"/>
    <w:rsid w:val="00040473"/>
    <w:rsid w:val="00045262"/>
    <w:rsid w:val="00046629"/>
    <w:rsid w:val="000500DA"/>
    <w:rsid w:val="00053144"/>
    <w:rsid w:val="000560E1"/>
    <w:rsid w:val="00061B07"/>
    <w:rsid w:val="000639E6"/>
    <w:rsid w:val="00065B8E"/>
    <w:rsid w:val="0007003F"/>
    <w:rsid w:val="0007178A"/>
    <w:rsid w:val="00071C91"/>
    <w:rsid w:val="000723DE"/>
    <w:rsid w:val="00077A75"/>
    <w:rsid w:val="000805D4"/>
    <w:rsid w:val="000814AE"/>
    <w:rsid w:val="000826DA"/>
    <w:rsid w:val="000834AC"/>
    <w:rsid w:val="00084148"/>
    <w:rsid w:val="000849C4"/>
    <w:rsid w:val="00090AF5"/>
    <w:rsid w:val="00092672"/>
    <w:rsid w:val="000934F5"/>
    <w:rsid w:val="00093A91"/>
    <w:rsid w:val="00097E50"/>
    <w:rsid w:val="00097FB3"/>
    <w:rsid w:val="000A5E3C"/>
    <w:rsid w:val="000C0E40"/>
    <w:rsid w:val="000C1F55"/>
    <w:rsid w:val="000C2169"/>
    <w:rsid w:val="000C334B"/>
    <w:rsid w:val="000C61B0"/>
    <w:rsid w:val="000C654A"/>
    <w:rsid w:val="000C7395"/>
    <w:rsid w:val="000C7F9F"/>
    <w:rsid w:val="000D06C9"/>
    <w:rsid w:val="000D06E2"/>
    <w:rsid w:val="000D2358"/>
    <w:rsid w:val="000D3BBB"/>
    <w:rsid w:val="000D7D05"/>
    <w:rsid w:val="000E4DBB"/>
    <w:rsid w:val="000E6CED"/>
    <w:rsid w:val="000E6FD9"/>
    <w:rsid w:val="000F3062"/>
    <w:rsid w:val="000F371F"/>
    <w:rsid w:val="000F381C"/>
    <w:rsid w:val="000F578F"/>
    <w:rsid w:val="00100326"/>
    <w:rsid w:val="00100BFF"/>
    <w:rsid w:val="00102ACE"/>
    <w:rsid w:val="001035C9"/>
    <w:rsid w:val="00103D11"/>
    <w:rsid w:val="001042A6"/>
    <w:rsid w:val="00104BCC"/>
    <w:rsid w:val="0010587C"/>
    <w:rsid w:val="00107AAD"/>
    <w:rsid w:val="00110000"/>
    <w:rsid w:val="00110BF6"/>
    <w:rsid w:val="00112B2E"/>
    <w:rsid w:val="0011355A"/>
    <w:rsid w:val="00113942"/>
    <w:rsid w:val="001143CC"/>
    <w:rsid w:val="00114D20"/>
    <w:rsid w:val="001166D4"/>
    <w:rsid w:val="00117467"/>
    <w:rsid w:val="00120345"/>
    <w:rsid w:val="001205A3"/>
    <w:rsid w:val="00121071"/>
    <w:rsid w:val="00121AA7"/>
    <w:rsid w:val="00121AF6"/>
    <w:rsid w:val="00123D57"/>
    <w:rsid w:val="0012422B"/>
    <w:rsid w:val="001242EA"/>
    <w:rsid w:val="00125149"/>
    <w:rsid w:val="0012730A"/>
    <w:rsid w:val="001279D7"/>
    <w:rsid w:val="00130C62"/>
    <w:rsid w:val="00131179"/>
    <w:rsid w:val="00132EF0"/>
    <w:rsid w:val="00133502"/>
    <w:rsid w:val="00135566"/>
    <w:rsid w:val="00140491"/>
    <w:rsid w:val="0014080C"/>
    <w:rsid w:val="00146C11"/>
    <w:rsid w:val="00147DE0"/>
    <w:rsid w:val="001517A5"/>
    <w:rsid w:val="00153F24"/>
    <w:rsid w:val="001611DC"/>
    <w:rsid w:val="00162014"/>
    <w:rsid w:val="0016299B"/>
    <w:rsid w:val="001642D4"/>
    <w:rsid w:val="00166C28"/>
    <w:rsid w:val="0017009A"/>
    <w:rsid w:val="0017513A"/>
    <w:rsid w:val="00180BA8"/>
    <w:rsid w:val="00182E97"/>
    <w:rsid w:val="00182ECD"/>
    <w:rsid w:val="001877A2"/>
    <w:rsid w:val="0019023B"/>
    <w:rsid w:val="00191670"/>
    <w:rsid w:val="00192441"/>
    <w:rsid w:val="00195922"/>
    <w:rsid w:val="001A1D1E"/>
    <w:rsid w:val="001A3BFE"/>
    <w:rsid w:val="001A44B3"/>
    <w:rsid w:val="001A7EB6"/>
    <w:rsid w:val="001B234C"/>
    <w:rsid w:val="001B3191"/>
    <w:rsid w:val="001B3266"/>
    <w:rsid w:val="001B611A"/>
    <w:rsid w:val="001C26DE"/>
    <w:rsid w:val="001C4185"/>
    <w:rsid w:val="001C4325"/>
    <w:rsid w:val="001C545F"/>
    <w:rsid w:val="001D7B49"/>
    <w:rsid w:val="001E0847"/>
    <w:rsid w:val="001E0B59"/>
    <w:rsid w:val="001E16F4"/>
    <w:rsid w:val="001E43B8"/>
    <w:rsid w:val="001E5DC7"/>
    <w:rsid w:val="001F351E"/>
    <w:rsid w:val="001F3AEF"/>
    <w:rsid w:val="001F4223"/>
    <w:rsid w:val="001F44A6"/>
    <w:rsid w:val="001F61A1"/>
    <w:rsid w:val="00200BF8"/>
    <w:rsid w:val="00201CF8"/>
    <w:rsid w:val="00202826"/>
    <w:rsid w:val="00202F06"/>
    <w:rsid w:val="00205B38"/>
    <w:rsid w:val="00207754"/>
    <w:rsid w:val="00210F87"/>
    <w:rsid w:val="00211499"/>
    <w:rsid w:val="00213BDE"/>
    <w:rsid w:val="00213E46"/>
    <w:rsid w:val="00216D7B"/>
    <w:rsid w:val="002224B5"/>
    <w:rsid w:val="00225B62"/>
    <w:rsid w:val="00226BE4"/>
    <w:rsid w:val="00227830"/>
    <w:rsid w:val="002309CD"/>
    <w:rsid w:val="002318E3"/>
    <w:rsid w:val="0023491D"/>
    <w:rsid w:val="002357FD"/>
    <w:rsid w:val="00235D99"/>
    <w:rsid w:val="0024049E"/>
    <w:rsid w:val="00243159"/>
    <w:rsid w:val="002433AD"/>
    <w:rsid w:val="00245995"/>
    <w:rsid w:val="00245C0F"/>
    <w:rsid w:val="002460BB"/>
    <w:rsid w:val="00250010"/>
    <w:rsid w:val="00250E92"/>
    <w:rsid w:val="00255854"/>
    <w:rsid w:val="00256FAA"/>
    <w:rsid w:val="00257CA5"/>
    <w:rsid w:val="002613FF"/>
    <w:rsid w:val="002627BC"/>
    <w:rsid w:val="0026340D"/>
    <w:rsid w:val="002644D4"/>
    <w:rsid w:val="002648EA"/>
    <w:rsid w:val="00272A21"/>
    <w:rsid w:val="00274BD3"/>
    <w:rsid w:val="00276ADC"/>
    <w:rsid w:val="00277C92"/>
    <w:rsid w:val="00281934"/>
    <w:rsid w:val="002823FB"/>
    <w:rsid w:val="00283A3E"/>
    <w:rsid w:val="00285AF2"/>
    <w:rsid w:val="002863C3"/>
    <w:rsid w:val="00286B8D"/>
    <w:rsid w:val="00286FCD"/>
    <w:rsid w:val="00287EA2"/>
    <w:rsid w:val="002908EC"/>
    <w:rsid w:val="0029763B"/>
    <w:rsid w:val="002A3EB1"/>
    <w:rsid w:val="002A4CF4"/>
    <w:rsid w:val="002A614F"/>
    <w:rsid w:val="002B0A81"/>
    <w:rsid w:val="002B24C6"/>
    <w:rsid w:val="002B34FC"/>
    <w:rsid w:val="002B5CDC"/>
    <w:rsid w:val="002B73FE"/>
    <w:rsid w:val="002B7B6A"/>
    <w:rsid w:val="002C154F"/>
    <w:rsid w:val="002C1671"/>
    <w:rsid w:val="002D3910"/>
    <w:rsid w:val="002D3AC9"/>
    <w:rsid w:val="002D707A"/>
    <w:rsid w:val="002E345D"/>
    <w:rsid w:val="002E3B58"/>
    <w:rsid w:val="002E4B00"/>
    <w:rsid w:val="002E7C71"/>
    <w:rsid w:val="002F0B3A"/>
    <w:rsid w:val="002F1503"/>
    <w:rsid w:val="002F4CC1"/>
    <w:rsid w:val="002F7679"/>
    <w:rsid w:val="002F76D8"/>
    <w:rsid w:val="003036D2"/>
    <w:rsid w:val="00304305"/>
    <w:rsid w:val="0030514A"/>
    <w:rsid w:val="00306BB3"/>
    <w:rsid w:val="00312907"/>
    <w:rsid w:val="00316EFD"/>
    <w:rsid w:val="003220EE"/>
    <w:rsid w:val="00327FCD"/>
    <w:rsid w:val="00333C71"/>
    <w:rsid w:val="00340540"/>
    <w:rsid w:val="00341672"/>
    <w:rsid w:val="00343507"/>
    <w:rsid w:val="00343E27"/>
    <w:rsid w:val="00345C9F"/>
    <w:rsid w:val="00345F1E"/>
    <w:rsid w:val="00351000"/>
    <w:rsid w:val="003538B6"/>
    <w:rsid w:val="003549CE"/>
    <w:rsid w:val="00355D7E"/>
    <w:rsid w:val="00357CEB"/>
    <w:rsid w:val="00376646"/>
    <w:rsid w:val="00377254"/>
    <w:rsid w:val="00381B7B"/>
    <w:rsid w:val="003867C3"/>
    <w:rsid w:val="0039059F"/>
    <w:rsid w:val="00390FB2"/>
    <w:rsid w:val="003946D0"/>
    <w:rsid w:val="0039533A"/>
    <w:rsid w:val="00395C40"/>
    <w:rsid w:val="00396B94"/>
    <w:rsid w:val="003A4BE0"/>
    <w:rsid w:val="003A6500"/>
    <w:rsid w:val="003B23A9"/>
    <w:rsid w:val="003B618F"/>
    <w:rsid w:val="003B6953"/>
    <w:rsid w:val="003C1DFB"/>
    <w:rsid w:val="003C2A09"/>
    <w:rsid w:val="003C3DD9"/>
    <w:rsid w:val="003C4759"/>
    <w:rsid w:val="003D1CDD"/>
    <w:rsid w:val="003D4651"/>
    <w:rsid w:val="003D6817"/>
    <w:rsid w:val="003D6A77"/>
    <w:rsid w:val="003E30CD"/>
    <w:rsid w:val="003E3592"/>
    <w:rsid w:val="003E401D"/>
    <w:rsid w:val="003E532C"/>
    <w:rsid w:val="003F737D"/>
    <w:rsid w:val="00400754"/>
    <w:rsid w:val="00401471"/>
    <w:rsid w:val="004018BE"/>
    <w:rsid w:val="00402474"/>
    <w:rsid w:val="00405C01"/>
    <w:rsid w:val="00406D00"/>
    <w:rsid w:val="00410CA0"/>
    <w:rsid w:val="004134B6"/>
    <w:rsid w:val="00414AEE"/>
    <w:rsid w:val="00421A32"/>
    <w:rsid w:val="00426198"/>
    <w:rsid w:val="0042777D"/>
    <w:rsid w:val="004304DC"/>
    <w:rsid w:val="00432E69"/>
    <w:rsid w:val="00444DEF"/>
    <w:rsid w:val="00450C67"/>
    <w:rsid w:val="004513B2"/>
    <w:rsid w:val="00451DBB"/>
    <w:rsid w:val="004560F0"/>
    <w:rsid w:val="004573DA"/>
    <w:rsid w:val="00464E2A"/>
    <w:rsid w:val="00465135"/>
    <w:rsid w:val="00471A5E"/>
    <w:rsid w:val="00473B64"/>
    <w:rsid w:val="00476F7E"/>
    <w:rsid w:val="00481610"/>
    <w:rsid w:val="004831DE"/>
    <w:rsid w:val="00484303"/>
    <w:rsid w:val="00484FD1"/>
    <w:rsid w:val="004855FD"/>
    <w:rsid w:val="00490933"/>
    <w:rsid w:val="00490A20"/>
    <w:rsid w:val="004913FD"/>
    <w:rsid w:val="004917CD"/>
    <w:rsid w:val="0049418D"/>
    <w:rsid w:val="00496053"/>
    <w:rsid w:val="0049794D"/>
    <w:rsid w:val="004A0AAC"/>
    <w:rsid w:val="004A0F41"/>
    <w:rsid w:val="004A0F63"/>
    <w:rsid w:val="004A2E78"/>
    <w:rsid w:val="004A4B30"/>
    <w:rsid w:val="004A6721"/>
    <w:rsid w:val="004A6A1A"/>
    <w:rsid w:val="004B0534"/>
    <w:rsid w:val="004B1647"/>
    <w:rsid w:val="004B1965"/>
    <w:rsid w:val="004B1D90"/>
    <w:rsid w:val="004B2776"/>
    <w:rsid w:val="004B44FB"/>
    <w:rsid w:val="004C18EF"/>
    <w:rsid w:val="004C2BC3"/>
    <w:rsid w:val="004C4232"/>
    <w:rsid w:val="004C6601"/>
    <w:rsid w:val="004D09E7"/>
    <w:rsid w:val="004D109D"/>
    <w:rsid w:val="004D409C"/>
    <w:rsid w:val="004E0D4F"/>
    <w:rsid w:val="004E144C"/>
    <w:rsid w:val="004E1771"/>
    <w:rsid w:val="004E2B43"/>
    <w:rsid w:val="004E70E0"/>
    <w:rsid w:val="004F126D"/>
    <w:rsid w:val="004F17CF"/>
    <w:rsid w:val="004F27D7"/>
    <w:rsid w:val="004F538F"/>
    <w:rsid w:val="0050031A"/>
    <w:rsid w:val="005022BE"/>
    <w:rsid w:val="00502763"/>
    <w:rsid w:val="005046FD"/>
    <w:rsid w:val="00504B5E"/>
    <w:rsid w:val="00505D26"/>
    <w:rsid w:val="00510664"/>
    <w:rsid w:val="00510DE7"/>
    <w:rsid w:val="00511F8A"/>
    <w:rsid w:val="005128EE"/>
    <w:rsid w:val="00512BD7"/>
    <w:rsid w:val="0051343A"/>
    <w:rsid w:val="00515270"/>
    <w:rsid w:val="0052032A"/>
    <w:rsid w:val="00524B1F"/>
    <w:rsid w:val="00525446"/>
    <w:rsid w:val="00525EC2"/>
    <w:rsid w:val="005268DC"/>
    <w:rsid w:val="0053096E"/>
    <w:rsid w:val="005349F2"/>
    <w:rsid w:val="0054016C"/>
    <w:rsid w:val="00541585"/>
    <w:rsid w:val="00541684"/>
    <w:rsid w:val="00542B94"/>
    <w:rsid w:val="00542E62"/>
    <w:rsid w:val="005436FD"/>
    <w:rsid w:val="00543E62"/>
    <w:rsid w:val="005443A1"/>
    <w:rsid w:val="00544E6A"/>
    <w:rsid w:val="00544F61"/>
    <w:rsid w:val="005507AB"/>
    <w:rsid w:val="0055625C"/>
    <w:rsid w:val="00557185"/>
    <w:rsid w:val="0056060E"/>
    <w:rsid w:val="005609EA"/>
    <w:rsid w:val="00560FB8"/>
    <w:rsid w:val="0056112C"/>
    <w:rsid w:val="00561735"/>
    <w:rsid w:val="0056300B"/>
    <w:rsid w:val="00563E4E"/>
    <w:rsid w:val="00565C81"/>
    <w:rsid w:val="00566AD8"/>
    <w:rsid w:val="00566B6A"/>
    <w:rsid w:val="00566DDA"/>
    <w:rsid w:val="00570139"/>
    <w:rsid w:val="00572AF5"/>
    <w:rsid w:val="00573FAC"/>
    <w:rsid w:val="005756D3"/>
    <w:rsid w:val="0057571D"/>
    <w:rsid w:val="00575DC9"/>
    <w:rsid w:val="00576F4D"/>
    <w:rsid w:val="00577963"/>
    <w:rsid w:val="00581419"/>
    <w:rsid w:val="005816F0"/>
    <w:rsid w:val="00582F46"/>
    <w:rsid w:val="00582FF3"/>
    <w:rsid w:val="0058662B"/>
    <w:rsid w:val="005907F8"/>
    <w:rsid w:val="00593FBB"/>
    <w:rsid w:val="00594605"/>
    <w:rsid w:val="00595CE7"/>
    <w:rsid w:val="00596B61"/>
    <w:rsid w:val="005A3979"/>
    <w:rsid w:val="005A5A7E"/>
    <w:rsid w:val="005A7225"/>
    <w:rsid w:val="005A7A45"/>
    <w:rsid w:val="005B49F9"/>
    <w:rsid w:val="005B5139"/>
    <w:rsid w:val="005C3ED6"/>
    <w:rsid w:val="005C6007"/>
    <w:rsid w:val="005C70AF"/>
    <w:rsid w:val="005D2FF6"/>
    <w:rsid w:val="005D3C1D"/>
    <w:rsid w:val="005D3FB7"/>
    <w:rsid w:val="005D4D42"/>
    <w:rsid w:val="005D6B43"/>
    <w:rsid w:val="005E1FB4"/>
    <w:rsid w:val="005E23A0"/>
    <w:rsid w:val="005E62FA"/>
    <w:rsid w:val="005E78AD"/>
    <w:rsid w:val="005E792D"/>
    <w:rsid w:val="005F6375"/>
    <w:rsid w:val="006040D4"/>
    <w:rsid w:val="00604D0E"/>
    <w:rsid w:val="00612D3F"/>
    <w:rsid w:val="00613DD2"/>
    <w:rsid w:val="0061566E"/>
    <w:rsid w:val="00616858"/>
    <w:rsid w:val="00620184"/>
    <w:rsid w:val="00620349"/>
    <w:rsid w:val="00620A7A"/>
    <w:rsid w:val="00621824"/>
    <w:rsid w:val="006234E5"/>
    <w:rsid w:val="0062531D"/>
    <w:rsid w:val="0062677C"/>
    <w:rsid w:val="00626B0E"/>
    <w:rsid w:val="00634AC2"/>
    <w:rsid w:val="00641A97"/>
    <w:rsid w:val="00645562"/>
    <w:rsid w:val="00645F87"/>
    <w:rsid w:val="00646B0B"/>
    <w:rsid w:val="0065357F"/>
    <w:rsid w:val="00655A8E"/>
    <w:rsid w:val="006617B0"/>
    <w:rsid w:val="00664F0E"/>
    <w:rsid w:val="00665043"/>
    <w:rsid w:val="006651DF"/>
    <w:rsid w:val="00665C1F"/>
    <w:rsid w:val="00667450"/>
    <w:rsid w:val="00667A65"/>
    <w:rsid w:val="006708B5"/>
    <w:rsid w:val="006719BA"/>
    <w:rsid w:val="0067249C"/>
    <w:rsid w:val="00672C6C"/>
    <w:rsid w:val="00677AF2"/>
    <w:rsid w:val="00682B3D"/>
    <w:rsid w:val="006845B1"/>
    <w:rsid w:val="006861A8"/>
    <w:rsid w:val="00686B2D"/>
    <w:rsid w:val="0069301B"/>
    <w:rsid w:val="006966C0"/>
    <w:rsid w:val="00696825"/>
    <w:rsid w:val="00697D30"/>
    <w:rsid w:val="006A26F8"/>
    <w:rsid w:val="006A271C"/>
    <w:rsid w:val="006A2A66"/>
    <w:rsid w:val="006A3966"/>
    <w:rsid w:val="006A50E7"/>
    <w:rsid w:val="006B04B3"/>
    <w:rsid w:val="006B31CC"/>
    <w:rsid w:val="006B41A8"/>
    <w:rsid w:val="006B725C"/>
    <w:rsid w:val="006C5881"/>
    <w:rsid w:val="006C6F9B"/>
    <w:rsid w:val="006C7DA9"/>
    <w:rsid w:val="006D2846"/>
    <w:rsid w:val="006D306F"/>
    <w:rsid w:val="006D3B2E"/>
    <w:rsid w:val="006D46C4"/>
    <w:rsid w:val="006D707C"/>
    <w:rsid w:val="006E12C1"/>
    <w:rsid w:val="006E44CE"/>
    <w:rsid w:val="006E47C8"/>
    <w:rsid w:val="006E542F"/>
    <w:rsid w:val="006E71AA"/>
    <w:rsid w:val="006E732B"/>
    <w:rsid w:val="006F00B4"/>
    <w:rsid w:val="006F0D76"/>
    <w:rsid w:val="006F1987"/>
    <w:rsid w:val="007037B9"/>
    <w:rsid w:val="00703F12"/>
    <w:rsid w:val="00704FC1"/>
    <w:rsid w:val="00710F17"/>
    <w:rsid w:val="0071272F"/>
    <w:rsid w:val="00712962"/>
    <w:rsid w:val="0071349E"/>
    <w:rsid w:val="00715276"/>
    <w:rsid w:val="0072069D"/>
    <w:rsid w:val="0073088A"/>
    <w:rsid w:val="00732E9F"/>
    <w:rsid w:val="00733EAB"/>
    <w:rsid w:val="007353B0"/>
    <w:rsid w:val="007353D5"/>
    <w:rsid w:val="00741D5C"/>
    <w:rsid w:val="00744A82"/>
    <w:rsid w:val="00746600"/>
    <w:rsid w:val="00746EC9"/>
    <w:rsid w:val="0075129D"/>
    <w:rsid w:val="007532C4"/>
    <w:rsid w:val="00755C22"/>
    <w:rsid w:val="0075733A"/>
    <w:rsid w:val="00761594"/>
    <w:rsid w:val="00762EA7"/>
    <w:rsid w:val="00766A41"/>
    <w:rsid w:val="00767F34"/>
    <w:rsid w:val="00767F38"/>
    <w:rsid w:val="00784F7F"/>
    <w:rsid w:val="00793C98"/>
    <w:rsid w:val="007977E7"/>
    <w:rsid w:val="007A2093"/>
    <w:rsid w:val="007B4663"/>
    <w:rsid w:val="007B4816"/>
    <w:rsid w:val="007B54D5"/>
    <w:rsid w:val="007B69E6"/>
    <w:rsid w:val="007C1651"/>
    <w:rsid w:val="007C2092"/>
    <w:rsid w:val="007D2E03"/>
    <w:rsid w:val="007D43E4"/>
    <w:rsid w:val="007D4F03"/>
    <w:rsid w:val="007D794C"/>
    <w:rsid w:val="007E0073"/>
    <w:rsid w:val="007E3067"/>
    <w:rsid w:val="007E3DCA"/>
    <w:rsid w:val="007E46C5"/>
    <w:rsid w:val="007F069C"/>
    <w:rsid w:val="007F2888"/>
    <w:rsid w:val="007F6295"/>
    <w:rsid w:val="007F65C0"/>
    <w:rsid w:val="007F7A21"/>
    <w:rsid w:val="008011B5"/>
    <w:rsid w:val="00804ABA"/>
    <w:rsid w:val="008065D8"/>
    <w:rsid w:val="008136DA"/>
    <w:rsid w:val="00816EF2"/>
    <w:rsid w:val="008177B9"/>
    <w:rsid w:val="00821A4D"/>
    <w:rsid w:val="00822E3E"/>
    <w:rsid w:val="008262EB"/>
    <w:rsid w:val="00830326"/>
    <w:rsid w:val="00830C00"/>
    <w:rsid w:val="00833F26"/>
    <w:rsid w:val="00834381"/>
    <w:rsid w:val="00836874"/>
    <w:rsid w:val="008375DF"/>
    <w:rsid w:val="008377B1"/>
    <w:rsid w:val="008414CF"/>
    <w:rsid w:val="00845651"/>
    <w:rsid w:val="008478E2"/>
    <w:rsid w:val="00850106"/>
    <w:rsid w:val="00850E8A"/>
    <w:rsid w:val="0085178B"/>
    <w:rsid w:val="0085361F"/>
    <w:rsid w:val="008558BD"/>
    <w:rsid w:val="00856BEA"/>
    <w:rsid w:val="00860EBA"/>
    <w:rsid w:val="00860FB1"/>
    <w:rsid w:val="00862ADA"/>
    <w:rsid w:val="00863A57"/>
    <w:rsid w:val="00863BCC"/>
    <w:rsid w:val="0086449F"/>
    <w:rsid w:val="00864AEB"/>
    <w:rsid w:val="008653F6"/>
    <w:rsid w:val="00866E6B"/>
    <w:rsid w:val="008715D9"/>
    <w:rsid w:val="00872B92"/>
    <w:rsid w:val="00873369"/>
    <w:rsid w:val="00873D1E"/>
    <w:rsid w:val="0087496E"/>
    <w:rsid w:val="008757F5"/>
    <w:rsid w:val="00880606"/>
    <w:rsid w:val="0088065F"/>
    <w:rsid w:val="00882E68"/>
    <w:rsid w:val="00883453"/>
    <w:rsid w:val="00883731"/>
    <w:rsid w:val="008842B0"/>
    <w:rsid w:val="008843D7"/>
    <w:rsid w:val="00884C50"/>
    <w:rsid w:val="00886926"/>
    <w:rsid w:val="0089269E"/>
    <w:rsid w:val="00892716"/>
    <w:rsid w:val="00893502"/>
    <w:rsid w:val="0089369C"/>
    <w:rsid w:val="008955FD"/>
    <w:rsid w:val="008959E8"/>
    <w:rsid w:val="00897402"/>
    <w:rsid w:val="008977EE"/>
    <w:rsid w:val="008A15FD"/>
    <w:rsid w:val="008A597C"/>
    <w:rsid w:val="008A5C19"/>
    <w:rsid w:val="008A5EEF"/>
    <w:rsid w:val="008A658F"/>
    <w:rsid w:val="008B0F3E"/>
    <w:rsid w:val="008B5657"/>
    <w:rsid w:val="008C273A"/>
    <w:rsid w:val="008C3DBB"/>
    <w:rsid w:val="008C4C04"/>
    <w:rsid w:val="008C5F0D"/>
    <w:rsid w:val="008C7B00"/>
    <w:rsid w:val="008D4350"/>
    <w:rsid w:val="008D631B"/>
    <w:rsid w:val="008D6C9E"/>
    <w:rsid w:val="008D6CA1"/>
    <w:rsid w:val="008E008A"/>
    <w:rsid w:val="008E1099"/>
    <w:rsid w:val="008E2E11"/>
    <w:rsid w:val="008E5964"/>
    <w:rsid w:val="008E64D1"/>
    <w:rsid w:val="008E72A8"/>
    <w:rsid w:val="008F12E5"/>
    <w:rsid w:val="008F31FE"/>
    <w:rsid w:val="00903257"/>
    <w:rsid w:val="00912857"/>
    <w:rsid w:val="0091561D"/>
    <w:rsid w:val="00915F77"/>
    <w:rsid w:val="00917F93"/>
    <w:rsid w:val="009230D9"/>
    <w:rsid w:val="00923766"/>
    <w:rsid w:val="00931B67"/>
    <w:rsid w:val="0093313F"/>
    <w:rsid w:val="0094161E"/>
    <w:rsid w:val="00946C40"/>
    <w:rsid w:val="00950469"/>
    <w:rsid w:val="00950602"/>
    <w:rsid w:val="00951FFE"/>
    <w:rsid w:val="00952E1A"/>
    <w:rsid w:val="00955A96"/>
    <w:rsid w:val="00956112"/>
    <w:rsid w:val="0095696D"/>
    <w:rsid w:val="00962DEF"/>
    <w:rsid w:val="009647AB"/>
    <w:rsid w:val="00967A34"/>
    <w:rsid w:val="00970818"/>
    <w:rsid w:val="00971933"/>
    <w:rsid w:val="00972327"/>
    <w:rsid w:val="00973256"/>
    <w:rsid w:val="00975414"/>
    <w:rsid w:val="0097650D"/>
    <w:rsid w:val="00981A24"/>
    <w:rsid w:val="00982CA1"/>
    <w:rsid w:val="00982ED1"/>
    <w:rsid w:val="0098302C"/>
    <w:rsid w:val="00984828"/>
    <w:rsid w:val="009861C6"/>
    <w:rsid w:val="0099145D"/>
    <w:rsid w:val="00991AE0"/>
    <w:rsid w:val="00992323"/>
    <w:rsid w:val="00992433"/>
    <w:rsid w:val="0099471C"/>
    <w:rsid w:val="0099655E"/>
    <w:rsid w:val="009A388B"/>
    <w:rsid w:val="009A40CA"/>
    <w:rsid w:val="009A62DC"/>
    <w:rsid w:val="009A6AA0"/>
    <w:rsid w:val="009B47FD"/>
    <w:rsid w:val="009B5E57"/>
    <w:rsid w:val="009B7048"/>
    <w:rsid w:val="009C03CE"/>
    <w:rsid w:val="009C1A41"/>
    <w:rsid w:val="009C4234"/>
    <w:rsid w:val="009C556D"/>
    <w:rsid w:val="009C5EF8"/>
    <w:rsid w:val="009C61F6"/>
    <w:rsid w:val="009D1197"/>
    <w:rsid w:val="009D3CBE"/>
    <w:rsid w:val="009D7494"/>
    <w:rsid w:val="009E38D8"/>
    <w:rsid w:val="009E4039"/>
    <w:rsid w:val="009E4CE4"/>
    <w:rsid w:val="009E4DD0"/>
    <w:rsid w:val="009E581E"/>
    <w:rsid w:val="009E6114"/>
    <w:rsid w:val="009E71B5"/>
    <w:rsid w:val="009E7C8A"/>
    <w:rsid w:val="009F0189"/>
    <w:rsid w:val="009F164D"/>
    <w:rsid w:val="009F1B22"/>
    <w:rsid w:val="009F356F"/>
    <w:rsid w:val="009F5AF7"/>
    <w:rsid w:val="009F6219"/>
    <w:rsid w:val="009F76BC"/>
    <w:rsid w:val="00A00546"/>
    <w:rsid w:val="00A01A00"/>
    <w:rsid w:val="00A03C26"/>
    <w:rsid w:val="00A04DEA"/>
    <w:rsid w:val="00A05C28"/>
    <w:rsid w:val="00A066C0"/>
    <w:rsid w:val="00A06E20"/>
    <w:rsid w:val="00A125E9"/>
    <w:rsid w:val="00A13C51"/>
    <w:rsid w:val="00A14244"/>
    <w:rsid w:val="00A17B86"/>
    <w:rsid w:val="00A214FA"/>
    <w:rsid w:val="00A23D5E"/>
    <w:rsid w:val="00A30469"/>
    <w:rsid w:val="00A307DB"/>
    <w:rsid w:val="00A30FFE"/>
    <w:rsid w:val="00A32636"/>
    <w:rsid w:val="00A33076"/>
    <w:rsid w:val="00A342A7"/>
    <w:rsid w:val="00A34618"/>
    <w:rsid w:val="00A3527D"/>
    <w:rsid w:val="00A366F8"/>
    <w:rsid w:val="00A37DAB"/>
    <w:rsid w:val="00A40FFB"/>
    <w:rsid w:val="00A41BBA"/>
    <w:rsid w:val="00A432BF"/>
    <w:rsid w:val="00A433A1"/>
    <w:rsid w:val="00A439CD"/>
    <w:rsid w:val="00A457E8"/>
    <w:rsid w:val="00A46B39"/>
    <w:rsid w:val="00A47A90"/>
    <w:rsid w:val="00A50F4E"/>
    <w:rsid w:val="00A57073"/>
    <w:rsid w:val="00A61EA4"/>
    <w:rsid w:val="00A6475A"/>
    <w:rsid w:val="00A65DEE"/>
    <w:rsid w:val="00A707E6"/>
    <w:rsid w:val="00A72A8B"/>
    <w:rsid w:val="00A76FE3"/>
    <w:rsid w:val="00A81C7F"/>
    <w:rsid w:val="00A82525"/>
    <w:rsid w:val="00A82ADC"/>
    <w:rsid w:val="00A83835"/>
    <w:rsid w:val="00A8411C"/>
    <w:rsid w:val="00A84F95"/>
    <w:rsid w:val="00A8500F"/>
    <w:rsid w:val="00A86742"/>
    <w:rsid w:val="00A91EB7"/>
    <w:rsid w:val="00A9362D"/>
    <w:rsid w:val="00A94518"/>
    <w:rsid w:val="00A94F20"/>
    <w:rsid w:val="00AA5E93"/>
    <w:rsid w:val="00AB0FCF"/>
    <w:rsid w:val="00AB337A"/>
    <w:rsid w:val="00AB3F75"/>
    <w:rsid w:val="00AC5636"/>
    <w:rsid w:val="00AC6F8E"/>
    <w:rsid w:val="00AD330E"/>
    <w:rsid w:val="00AD423C"/>
    <w:rsid w:val="00AD625F"/>
    <w:rsid w:val="00AD76CB"/>
    <w:rsid w:val="00AD7E54"/>
    <w:rsid w:val="00AE0941"/>
    <w:rsid w:val="00AE3492"/>
    <w:rsid w:val="00AE4C12"/>
    <w:rsid w:val="00AE5079"/>
    <w:rsid w:val="00AE63D3"/>
    <w:rsid w:val="00AF03CB"/>
    <w:rsid w:val="00AF0C1C"/>
    <w:rsid w:val="00AF4A93"/>
    <w:rsid w:val="00B000AE"/>
    <w:rsid w:val="00B06532"/>
    <w:rsid w:val="00B068A3"/>
    <w:rsid w:val="00B070F4"/>
    <w:rsid w:val="00B07C91"/>
    <w:rsid w:val="00B22288"/>
    <w:rsid w:val="00B2517E"/>
    <w:rsid w:val="00B25320"/>
    <w:rsid w:val="00B25B95"/>
    <w:rsid w:val="00B272DC"/>
    <w:rsid w:val="00B30DBA"/>
    <w:rsid w:val="00B36E6A"/>
    <w:rsid w:val="00B40513"/>
    <w:rsid w:val="00B41809"/>
    <w:rsid w:val="00B41A04"/>
    <w:rsid w:val="00B4401C"/>
    <w:rsid w:val="00B46673"/>
    <w:rsid w:val="00B54343"/>
    <w:rsid w:val="00B60603"/>
    <w:rsid w:val="00B615C2"/>
    <w:rsid w:val="00B6293C"/>
    <w:rsid w:val="00B73AD7"/>
    <w:rsid w:val="00B74322"/>
    <w:rsid w:val="00B745AB"/>
    <w:rsid w:val="00B75A7C"/>
    <w:rsid w:val="00B769B1"/>
    <w:rsid w:val="00B80F42"/>
    <w:rsid w:val="00B8246E"/>
    <w:rsid w:val="00B8360F"/>
    <w:rsid w:val="00B90091"/>
    <w:rsid w:val="00B97E4D"/>
    <w:rsid w:val="00BA1424"/>
    <w:rsid w:val="00BA18AA"/>
    <w:rsid w:val="00BA60EA"/>
    <w:rsid w:val="00BB227A"/>
    <w:rsid w:val="00BB4139"/>
    <w:rsid w:val="00BB5341"/>
    <w:rsid w:val="00BC1B09"/>
    <w:rsid w:val="00BC2470"/>
    <w:rsid w:val="00BC48E4"/>
    <w:rsid w:val="00BC4D44"/>
    <w:rsid w:val="00BD190A"/>
    <w:rsid w:val="00BD4C3F"/>
    <w:rsid w:val="00BE1A61"/>
    <w:rsid w:val="00BE29AE"/>
    <w:rsid w:val="00BE3F14"/>
    <w:rsid w:val="00BE417F"/>
    <w:rsid w:val="00BE46F0"/>
    <w:rsid w:val="00BE5B08"/>
    <w:rsid w:val="00BF3D7E"/>
    <w:rsid w:val="00BF4BEC"/>
    <w:rsid w:val="00BF4D89"/>
    <w:rsid w:val="00C00221"/>
    <w:rsid w:val="00C0116A"/>
    <w:rsid w:val="00C036C6"/>
    <w:rsid w:val="00C0443E"/>
    <w:rsid w:val="00C04899"/>
    <w:rsid w:val="00C04E92"/>
    <w:rsid w:val="00C07917"/>
    <w:rsid w:val="00C15748"/>
    <w:rsid w:val="00C174BB"/>
    <w:rsid w:val="00C21AEA"/>
    <w:rsid w:val="00C21E7D"/>
    <w:rsid w:val="00C22192"/>
    <w:rsid w:val="00C2281E"/>
    <w:rsid w:val="00C272B8"/>
    <w:rsid w:val="00C3358A"/>
    <w:rsid w:val="00C34698"/>
    <w:rsid w:val="00C360DA"/>
    <w:rsid w:val="00C36826"/>
    <w:rsid w:val="00C37494"/>
    <w:rsid w:val="00C37718"/>
    <w:rsid w:val="00C40E3B"/>
    <w:rsid w:val="00C41404"/>
    <w:rsid w:val="00C41F91"/>
    <w:rsid w:val="00C42D7B"/>
    <w:rsid w:val="00C42FB8"/>
    <w:rsid w:val="00C4334D"/>
    <w:rsid w:val="00C53314"/>
    <w:rsid w:val="00C545C1"/>
    <w:rsid w:val="00C546B8"/>
    <w:rsid w:val="00C54996"/>
    <w:rsid w:val="00C54C68"/>
    <w:rsid w:val="00C5537E"/>
    <w:rsid w:val="00C55908"/>
    <w:rsid w:val="00C57DCE"/>
    <w:rsid w:val="00C61831"/>
    <w:rsid w:val="00C61AAB"/>
    <w:rsid w:val="00C633F1"/>
    <w:rsid w:val="00C65EA1"/>
    <w:rsid w:val="00C71BC0"/>
    <w:rsid w:val="00C7435E"/>
    <w:rsid w:val="00C747AB"/>
    <w:rsid w:val="00C82FD2"/>
    <w:rsid w:val="00C9039E"/>
    <w:rsid w:val="00C96F79"/>
    <w:rsid w:val="00CA1337"/>
    <w:rsid w:val="00CA21DA"/>
    <w:rsid w:val="00CA5943"/>
    <w:rsid w:val="00CB1A1E"/>
    <w:rsid w:val="00CB40C0"/>
    <w:rsid w:val="00CB5D5E"/>
    <w:rsid w:val="00CB6CC6"/>
    <w:rsid w:val="00CB71DA"/>
    <w:rsid w:val="00CB7F58"/>
    <w:rsid w:val="00CC0B34"/>
    <w:rsid w:val="00CC18D5"/>
    <w:rsid w:val="00CC2CBF"/>
    <w:rsid w:val="00CC4D83"/>
    <w:rsid w:val="00CD2793"/>
    <w:rsid w:val="00CD5D05"/>
    <w:rsid w:val="00CE1BAD"/>
    <w:rsid w:val="00CE399A"/>
    <w:rsid w:val="00CE4EDF"/>
    <w:rsid w:val="00CE5EFB"/>
    <w:rsid w:val="00CE6AAD"/>
    <w:rsid w:val="00CE70FA"/>
    <w:rsid w:val="00CF2BD4"/>
    <w:rsid w:val="00CF5D4C"/>
    <w:rsid w:val="00D007A0"/>
    <w:rsid w:val="00D02A1A"/>
    <w:rsid w:val="00D043F4"/>
    <w:rsid w:val="00D077CB"/>
    <w:rsid w:val="00D10094"/>
    <w:rsid w:val="00D10EB7"/>
    <w:rsid w:val="00D16BA1"/>
    <w:rsid w:val="00D17D6C"/>
    <w:rsid w:val="00D252B5"/>
    <w:rsid w:val="00D25EBE"/>
    <w:rsid w:val="00D332B3"/>
    <w:rsid w:val="00D348B9"/>
    <w:rsid w:val="00D409A7"/>
    <w:rsid w:val="00D423F8"/>
    <w:rsid w:val="00D455FC"/>
    <w:rsid w:val="00D45C25"/>
    <w:rsid w:val="00D46503"/>
    <w:rsid w:val="00D47A5F"/>
    <w:rsid w:val="00D524A9"/>
    <w:rsid w:val="00D57A8A"/>
    <w:rsid w:val="00D61FD6"/>
    <w:rsid w:val="00D62241"/>
    <w:rsid w:val="00D64C82"/>
    <w:rsid w:val="00D6558F"/>
    <w:rsid w:val="00D655F1"/>
    <w:rsid w:val="00D6661F"/>
    <w:rsid w:val="00D70EF0"/>
    <w:rsid w:val="00D73863"/>
    <w:rsid w:val="00D755A5"/>
    <w:rsid w:val="00D7743D"/>
    <w:rsid w:val="00D77B87"/>
    <w:rsid w:val="00D8252B"/>
    <w:rsid w:val="00D840BE"/>
    <w:rsid w:val="00D84962"/>
    <w:rsid w:val="00D863CC"/>
    <w:rsid w:val="00D93F57"/>
    <w:rsid w:val="00D94193"/>
    <w:rsid w:val="00D9475D"/>
    <w:rsid w:val="00D94B5A"/>
    <w:rsid w:val="00D95C8C"/>
    <w:rsid w:val="00D972E3"/>
    <w:rsid w:val="00DA006B"/>
    <w:rsid w:val="00DA0DA0"/>
    <w:rsid w:val="00DA5E64"/>
    <w:rsid w:val="00DA6E04"/>
    <w:rsid w:val="00DB17EF"/>
    <w:rsid w:val="00DB22E6"/>
    <w:rsid w:val="00DB29EA"/>
    <w:rsid w:val="00DB4B68"/>
    <w:rsid w:val="00DB4FDB"/>
    <w:rsid w:val="00DB5805"/>
    <w:rsid w:val="00DB5FF2"/>
    <w:rsid w:val="00DC0152"/>
    <w:rsid w:val="00DC2226"/>
    <w:rsid w:val="00DC2EA9"/>
    <w:rsid w:val="00DC2F91"/>
    <w:rsid w:val="00DC5A63"/>
    <w:rsid w:val="00DD128D"/>
    <w:rsid w:val="00DD1451"/>
    <w:rsid w:val="00DD19EA"/>
    <w:rsid w:val="00DD68E3"/>
    <w:rsid w:val="00DD71BC"/>
    <w:rsid w:val="00DE0B4F"/>
    <w:rsid w:val="00DE1C21"/>
    <w:rsid w:val="00DE2F5D"/>
    <w:rsid w:val="00DE568C"/>
    <w:rsid w:val="00DE62E6"/>
    <w:rsid w:val="00DE68A1"/>
    <w:rsid w:val="00DF0CA1"/>
    <w:rsid w:val="00DF2ACB"/>
    <w:rsid w:val="00DF534A"/>
    <w:rsid w:val="00DF64AF"/>
    <w:rsid w:val="00DF65DE"/>
    <w:rsid w:val="00DF76DD"/>
    <w:rsid w:val="00E06DCD"/>
    <w:rsid w:val="00E104AF"/>
    <w:rsid w:val="00E12636"/>
    <w:rsid w:val="00E1419A"/>
    <w:rsid w:val="00E154BE"/>
    <w:rsid w:val="00E163A8"/>
    <w:rsid w:val="00E16B3B"/>
    <w:rsid w:val="00E17D0F"/>
    <w:rsid w:val="00E24AF2"/>
    <w:rsid w:val="00E279BA"/>
    <w:rsid w:val="00E31057"/>
    <w:rsid w:val="00E3124E"/>
    <w:rsid w:val="00E31506"/>
    <w:rsid w:val="00E33C34"/>
    <w:rsid w:val="00E35B60"/>
    <w:rsid w:val="00E374A3"/>
    <w:rsid w:val="00E37697"/>
    <w:rsid w:val="00E4041B"/>
    <w:rsid w:val="00E41357"/>
    <w:rsid w:val="00E4165C"/>
    <w:rsid w:val="00E42BB8"/>
    <w:rsid w:val="00E4513A"/>
    <w:rsid w:val="00E466A7"/>
    <w:rsid w:val="00E50F54"/>
    <w:rsid w:val="00E54839"/>
    <w:rsid w:val="00E566CC"/>
    <w:rsid w:val="00E568F7"/>
    <w:rsid w:val="00E57ADC"/>
    <w:rsid w:val="00E6560A"/>
    <w:rsid w:val="00E65B55"/>
    <w:rsid w:val="00E66E6F"/>
    <w:rsid w:val="00E678F5"/>
    <w:rsid w:val="00E71C21"/>
    <w:rsid w:val="00E73049"/>
    <w:rsid w:val="00E73193"/>
    <w:rsid w:val="00E73504"/>
    <w:rsid w:val="00E74C0F"/>
    <w:rsid w:val="00E77051"/>
    <w:rsid w:val="00E81F18"/>
    <w:rsid w:val="00E841C3"/>
    <w:rsid w:val="00E96BD2"/>
    <w:rsid w:val="00E97DFA"/>
    <w:rsid w:val="00EA05C3"/>
    <w:rsid w:val="00EA0C97"/>
    <w:rsid w:val="00EA0E0C"/>
    <w:rsid w:val="00EA1E3C"/>
    <w:rsid w:val="00EA2360"/>
    <w:rsid w:val="00EA4446"/>
    <w:rsid w:val="00EA45C8"/>
    <w:rsid w:val="00EA6C05"/>
    <w:rsid w:val="00EB460D"/>
    <w:rsid w:val="00EB4FBB"/>
    <w:rsid w:val="00EB5181"/>
    <w:rsid w:val="00EC2A07"/>
    <w:rsid w:val="00EC2C6D"/>
    <w:rsid w:val="00EC5EB1"/>
    <w:rsid w:val="00EC636D"/>
    <w:rsid w:val="00EC7481"/>
    <w:rsid w:val="00ED028B"/>
    <w:rsid w:val="00ED649A"/>
    <w:rsid w:val="00ED7629"/>
    <w:rsid w:val="00EE1DFD"/>
    <w:rsid w:val="00EE5102"/>
    <w:rsid w:val="00EF1657"/>
    <w:rsid w:val="00EF4517"/>
    <w:rsid w:val="00EF60FA"/>
    <w:rsid w:val="00F016F6"/>
    <w:rsid w:val="00F07EBE"/>
    <w:rsid w:val="00F1181A"/>
    <w:rsid w:val="00F13552"/>
    <w:rsid w:val="00F17029"/>
    <w:rsid w:val="00F21569"/>
    <w:rsid w:val="00F21BAF"/>
    <w:rsid w:val="00F21BE5"/>
    <w:rsid w:val="00F2311A"/>
    <w:rsid w:val="00F2337D"/>
    <w:rsid w:val="00F24B0F"/>
    <w:rsid w:val="00F3308F"/>
    <w:rsid w:val="00F35649"/>
    <w:rsid w:val="00F36A5D"/>
    <w:rsid w:val="00F36CBA"/>
    <w:rsid w:val="00F37216"/>
    <w:rsid w:val="00F4006E"/>
    <w:rsid w:val="00F4374E"/>
    <w:rsid w:val="00F442C3"/>
    <w:rsid w:val="00F47FE2"/>
    <w:rsid w:val="00F50176"/>
    <w:rsid w:val="00F5159A"/>
    <w:rsid w:val="00F5198B"/>
    <w:rsid w:val="00F52894"/>
    <w:rsid w:val="00F52DFE"/>
    <w:rsid w:val="00F54B00"/>
    <w:rsid w:val="00F5529F"/>
    <w:rsid w:val="00F6184B"/>
    <w:rsid w:val="00F626A6"/>
    <w:rsid w:val="00F64A0F"/>
    <w:rsid w:val="00F71F68"/>
    <w:rsid w:val="00F73669"/>
    <w:rsid w:val="00F8284D"/>
    <w:rsid w:val="00F83696"/>
    <w:rsid w:val="00F9034A"/>
    <w:rsid w:val="00F9041D"/>
    <w:rsid w:val="00F9502C"/>
    <w:rsid w:val="00F95A86"/>
    <w:rsid w:val="00FA0D67"/>
    <w:rsid w:val="00FA2FC3"/>
    <w:rsid w:val="00FA5F53"/>
    <w:rsid w:val="00FA66C4"/>
    <w:rsid w:val="00FA7C4F"/>
    <w:rsid w:val="00FA7FA9"/>
    <w:rsid w:val="00FB0B16"/>
    <w:rsid w:val="00FB2D5F"/>
    <w:rsid w:val="00FB3597"/>
    <w:rsid w:val="00FB437C"/>
    <w:rsid w:val="00FC2AB3"/>
    <w:rsid w:val="00FC37CC"/>
    <w:rsid w:val="00FC3A82"/>
    <w:rsid w:val="00FC3ABA"/>
    <w:rsid w:val="00FC794A"/>
    <w:rsid w:val="00FD0746"/>
    <w:rsid w:val="00FD47F9"/>
    <w:rsid w:val="00FE0C6F"/>
    <w:rsid w:val="00FE10CE"/>
    <w:rsid w:val="00FE15AC"/>
    <w:rsid w:val="00FE1B94"/>
    <w:rsid w:val="00FE7AB0"/>
    <w:rsid w:val="00FE7B98"/>
    <w:rsid w:val="00FF0D9A"/>
    <w:rsid w:val="00FF1D1C"/>
    <w:rsid w:val="00FF2DC7"/>
    <w:rsid w:val="00FF3009"/>
    <w:rsid w:val="00FF471A"/>
    <w:rsid w:val="00FF4D63"/>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D1FC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0176"/>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570139"/>
    <w:pPr>
      <w:keepNext/>
      <w:pBdr>
        <w:bottom w:val="single" w:sz="4" w:space="1" w:color="auto"/>
      </w:pBdr>
      <w:suppressAutoHyphens/>
      <w:spacing w:before="400"/>
      <w:outlineLvl w:val="0"/>
    </w:pPr>
    <w:rPr>
      <w:rFonts w:ascii="Gill Sans MT" w:eastAsia="Calibri" w:hAnsi="Gill Sans MT"/>
      <w:sz w:val="34"/>
    </w:rPr>
  </w:style>
  <w:style w:type="paragraph" w:styleId="Heading2">
    <w:name w:val="heading 2"/>
    <w:basedOn w:val="Normal"/>
    <w:next w:val="Normal"/>
    <w:link w:val="Heading2Char"/>
    <w:autoRedefine/>
    <w:uiPriority w:val="9"/>
    <w:qFormat/>
    <w:rsid w:val="00BE29AE"/>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uiPriority w:val="9"/>
    <w:qFormat/>
    <w:rsid w:val="00956112"/>
    <w:pPr>
      <w:keepNext/>
      <w:spacing w:before="200"/>
      <w:outlineLvl w:val="2"/>
    </w:pPr>
    <w:rPr>
      <w:rFonts w:eastAsia="Calibri" w:cs="Gill Sans"/>
      <w:b/>
      <w:spacing w:val="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570139"/>
    <w:rPr>
      <w:rFonts w:ascii="Gill Sans MT" w:eastAsia="Calibri" w:hAnsi="Gill Sans MT" w:cs="Times New Roman"/>
      <w:sz w:val="34"/>
      <w:lang w:eastAsia="en-US"/>
    </w:rPr>
  </w:style>
  <w:style w:type="character" w:customStyle="1" w:styleId="Heading2Char">
    <w:name w:val="Heading 2 Char"/>
    <w:basedOn w:val="DefaultParagraphFont"/>
    <w:link w:val="Heading2"/>
    <w:uiPriority w:val="9"/>
    <w:rsid w:val="00BE29AE"/>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uiPriority w:val="9"/>
    <w:rsid w:val="00956112"/>
    <w:rPr>
      <w:rFonts w:ascii="Palatino Linotype" w:eastAsia="Calibri" w:hAnsi="Palatino Linotype" w:cs="Gill Sans"/>
      <w:b/>
      <w:spacing w:val="2"/>
      <w:sz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6B31CC"/>
    <w:pPr>
      <w:tabs>
        <w:tab w:val="right" w:pos="8730"/>
      </w:tabs>
      <w:ind w:left="180" w:hanging="180"/>
    </w:pPr>
    <w:rPr>
      <w:noProof/>
      <w:szCs w:val="22"/>
    </w:rPr>
  </w:style>
  <w:style w:type="paragraph" w:styleId="TOC2">
    <w:name w:val="toc 2"/>
    <w:basedOn w:val="Normal"/>
    <w:next w:val="Normal"/>
    <w:autoRedefine/>
    <w:uiPriority w:val="39"/>
    <w:rsid w:val="00121071"/>
    <w:pPr>
      <w:tabs>
        <w:tab w:val="right" w:leader="dot" w:pos="7830"/>
      </w:tabs>
      <w:ind w:left="180"/>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C36826"/>
    <w:pPr>
      <w:tabs>
        <w:tab w:val="center" w:pos="5472"/>
        <w:tab w:val="right" w:pos="11074"/>
      </w:tabs>
    </w:pPr>
    <w:rPr>
      <w:sz w:val="19"/>
      <w:szCs w:val="20"/>
    </w:rPr>
  </w:style>
  <w:style w:type="character" w:customStyle="1" w:styleId="HeaderChar">
    <w:name w:val="Header Char"/>
    <w:basedOn w:val="DefaultParagraphFont"/>
    <w:link w:val="Header"/>
    <w:uiPriority w:val="99"/>
    <w:rsid w:val="00C36826"/>
    <w:rPr>
      <w:rFonts w:ascii="Palatino Linotype" w:eastAsia="Times New Roman" w:hAnsi="Palatino Linotype" w:cs="Times New Roman"/>
      <w:sz w:val="19"/>
      <w:szCs w:val="20"/>
      <w:lang w:eastAsia="en-US"/>
    </w:rPr>
  </w:style>
  <w:style w:type="paragraph" w:styleId="Footer">
    <w:name w:val="footer"/>
    <w:basedOn w:val="Normal"/>
    <w:link w:val="FooterChar"/>
    <w:unhideWhenUsed/>
    <w:rsid w:val="00CA1337"/>
    <w:pPr>
      <w:tabs>
        <w:tab w:val="center" w:pos="4680"/>
        <w:tab w:val="right" w:pos="10980"/>
      </w:tabs>
    </w:pPr>
    <w:rPr>
      <w:sz w:val="19"/>
      <w:szCs w:val="20"/>
    </w:rPr>
  </w:style>
  <w:style w:type="character" w:customStyle="1" w:styleId="FooterChar">
    <w:name w:val="Footer Char"/>
    <w:basedOn w:val="DefaultParagraphFont"/>
    <w:link w:val="Footer"/>
    <w:rsid w:val="00CA1337"/>
    <w:rPr>
      <w:rFonts w:ascii="Palatino Linotype" w:eastAsia="Times New Roman" w:hAnsi="Palatino Linotype" w:cs="Times New Roman"/>
      <w:sz w:val="19"/>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147DE0"/>
    <w:pPr>
      <w:ind w:left="216" w:right="216"/>
    </w:pPr>
  </w:style>
  <w:style w:type="paragraph" w:customStyle="1" w:styleId="BodyBullet">
    <w:name w:val="Body Bullet"/>
    <w:basedOn w:val="BodyText"/>
    <w:next w:val="BodyText"/>
    <w:link w:val="BodyBulletChar"/>
    <w:rsid w:val="00BE29AE"/>
    <w:pPr>
      <w:numPr>
        <w:numId w:val="1"/>
      </w:numPr>
    </w:pPr>
  </w:style>
  <w:style w:type="character" w:customStyle="1" w:styleId="BodyBulletChar">
    <w:name w:val="Body Bullet Char"/>
    <w:basedOn w:val="BodyTextChar"/>
    <w:link w:val="BodyBullet"/>
    <w:rsid w:val="00BE29AE"/>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uiPriority w:val="99"/>
    <w:rsid w:val="00BE29AE"/>
  </w:style>
  <w:style w:type="character" w:customStyle="1" w:styleId="CommentTextChar">
    <w:name w:val="Comment Text Char"/>
    <w:basedOn w:val="DefaultParagraphFont"/>
    <w:link w:val="CommentText"/>
    <w:uiPriority w:val="99"/>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qFormat/>
    <w:rsid w:val="00BE29AE"/>
    <w:rPr>
      <w:i/>
      <w:iCs/>
    </w:rPr>
  </w:style>
  <w:style w:type="character" w:styleId="EndnoteReference">
    <w:name w:val="endnote reference"/>
    <w:basedOn w:val="DefaultParagraphFont"/>
    <w:uiPriority w:val="99"/>
    <w:rsid w:val="00BE29AE"/>
    <w:rPr>
      <w:vertAlign w:val="superscript"/>
    </w:rPr>
  </w:style>
  <w:style w:type="paragraph" w:styleId="EndnoteText">
    <w:name w:val="endnote text"/>
    <w:basedOn w:val="Normal"/>
    <w:link w:val="EndnoteTextChar"/>
    <w:uiPriority w:val="99"/>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uiPriority w:val="99"/>
    <w:unhideWhenUsed/>
    <w:rsid w:val="00BE29AE"/>
    <w:rPr>
      <w:vertAlign w:val="superscript"/>
    </w:rPr>
  </w:style>
  <w:style w:type="paragraph" w:styleId="FootnoteText">
    <w:name w:val="footnote text"/>
    <w:basedOn w:val="Normal"/>
    <w:link w:val="FootnoteTextChar"/>
    <w:uiPriority w:val="99"/>
    <w:unhideWhenUsed/>
    <w:rsid w:val="00BE29AE"/>
    <w:rPr>
      <w:sz w:val="20"/>
      <w:szCs w:val="20"/>
    </w:rPr>
  </w:style>
  <w:style w:type="character" w:customStyle="1" w:styleId="FootnoteTextChar">
    <w:name w:val="Footnote Text Char"/>
    <w:basedOn w:val="DefaultParagraphFont"/>
    <w:link w:val="FootnoteText"/>
    <w:uiPriority w:val="99"/>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iPriority w:val="99"/>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CE4EDF"/>
    <w:pPr>
      <w:numPr>
        <w:numId w:val="3"/>
      </w:numPr>
      <w:tabs>
        <w:tab w:val="clear" w:pos="360"/>
        <w:tab w:val="num" w:pos="432"/>
      </w:tabs>
      <w:spacing w:after="120"/>
      <w:ind w:left="432" w:hanging="216"/>
      <w:contextualSpacing/>
    </w:pPr>
  </w:style>
  <w:style w:type="paragraph" w:styleId="ListBullet2">
    <w:name w:val="List Bullet 2"/>
    <w:basedOn w:val="Normal"/>
    <w:autoRedefine/>
    <w:uiPriority w:val="99"/>
    <w:unhideWhenUsed/>
    <w:rsid w:val="00BE29AE"/>
    <w:pPr>
      <w:numPr>
        <w:numId w:val="4"/>
      </w:numPr>
      <w:spacing w:after="120"/>
    </w:pPr>
  </w:style>
  <w:style w:type="paragraph" w:styleId="ListParagraph">
    <w:name w:val="List Paragraph"/>
    <w:basedOn w:val="Normal"/>
    <w:uiPriority w:val="34"/>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qFormat/>
    <w:rsid w:val="00BE29AE"/>
    <w:rPr>
      <w:b/>
      <w:bCs/>
    </w:rPr>
  </w:style>
  <w:style w:type="paragraph" w:styleId="Subtitle">
    <w:name w:val="Subtitle"/>
    <w:basedOn w:val="Normal"/>
    <w:link w:val="SubtitleChar"/>
    <w:autoRedefine/>
    <w:uiPriority w:val="99"/>
    <w:qFormat/>
    <w:rsid w:val="00121071"/>
    <w:pPr>
      <w:suppressAutoHyphens/>
      <w:spacing w:before="80"/>
      <w:ind w:right="3254"/>
    </w:pPr>
    <w:rPr>
      <w:rFonts w:ascii="Gill Sans" w:hAnsi="Gill Sans" w:cs="Gill Sans"/>
      <w:bCs/>
      <w:sz w:val="40"/>
      <w:szCs w:val="40"/>
    </w:rPr>
  </w:style>
  <w:style w:type="character" w:customStyle="1" w:styleId="SubtitleChar">
    <w:name w:val="Subtitle Char"/>
    <w:basedOn w:val="DefaultParagraphFont"/>
    <w:link w:val="Subtitle"/>
    <w:uiPriority w:val="99"/>
    <w:rsid w:val="00121071"/>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E77051"/>
    <w:pPr>
      <w:suppressAutoHyphens/>
      <w:ind w:right="3254"/>
      <w:contextualSpacing/>
    </w:pPr>
    <w:rPr>
      <w:rFonts w:ascii="Gill Sans" w:hAnsi="Gill Sans" w:cs="Gill Sans"/>
      <w:kern w:val="28"/>
      <w:sz w:val="60"/>
      <w:szCs w:val="60"/>
    </w:rPr>
  </w:style>
  <w:style w:type="character" w:customStyle="1" w:styleId="TitleChar">
    <w:name w:val="Title Char"/>
    <w:basedOn w:val="DefaultParagraphFont"/>
    <w:link w:val="Title"/>
    <w:rsid w:val="00E77051"/>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2E4B00"/>
    <w:pP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2E4B00"/>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C2281E"/>
    <w:pPr>
      <w:suppressAutoHyphens/>
      <w:spacing w:before="100" w:after="200"/>
      <w:ind w:right="3254"/>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71"/>
    <w:rsid w:val="00A8500F"/>
    <w:pPr>
      <w:spacing w:after="0"/>
    </w:pPr>
    <w:rPr>
      <w:rFonts w:ascii="Palatino Linotype" w:eastAsia="Times New Roman" w:hAnsi="Palatino Linotype" w:cs="Times New Roman"/>
      <w:sz w:val="22"/>
      <w:lang w:eastAsia="en-US"/>
    </w:rPr>
  </w:style>
  <w:style w:type="paragraph" w:customStyle="1" w:styleId="SimpleAgreement">
    <w:name w:val="Simple Agreement"/>
    <w:basedOn w:val="BodyTextFirstIndent"/>
    <w:rsid w:val="00C2281E"/>
    <w:pPr>
      <w:numPr>
        <w:ilvl w:val="3"/>
        <w:numId w:val="5"/>
      </w:numPr>
      <w:tabs>
        <w:tab w:val="clear" w:pos="3240"/>
        <w:tab w:val="num" w:pos="720"/>
      </w:tabs>
      <w:spacing w:before="120" w:after="120"/>
      <w:ind w:left="720" w:hanging="360"/>
    </w:pPr>
    <w:rPr>
      <w:rFonts w:ascii="Times New Roman" w:hAnsi="Times New Roman"/>
      <w:sz w:val="20"/>
      <w:szCs w:val="20"/>
    </w:rPr>
  </w:style>
  <w:style w:type="paragraph" w:styleId="BodyTextFirstIndent">
    <w:name w:val="Body Text First Indent"/>
    <w:basedOn w:val="BodyText"/>
    <w:link w:val="BodyTextFirstIndentChar"/>
    <w:uiPriority w:val="99"/>
    <w:semiHidden/>
    <w:unhideWhenUsed/>
    <w:rsid w:val="00C2281E"/>
    <w:pPr>
      <w:tabs>
        <w:tab w:val="clear" w:pos="432"/>
        <w:tab w:val="clear" w:pos="648"/>
      </w:tabs>
      <w:spacing w:after="0"/>
      <w:ind w:firstLine="360"/>
    </w:pPr>
    <w:rPr>
      <w:rFonts w:eastAsia="Times New Roman"/>
    </w:rPr>
  </w:style>
  <w:style w:type="character" w:customStyle="1" w:styleId="BodyTextFirstIndentChar">
    <w:name w:val="Body Text First Indent Char"/>
    <w:basedOn w:val="BodyTextChar"/>
    <w:link w:val="BodyTextFirstIndent"/>
    <w:uiPriority w:val="99"/>
    <w:semiHidden/>
    <w:rsid w:val="00C2281E"/>
    <w:rPr>
      <w:rFonts w:ascii="Palatino Linotype" w:eastAsia="Times New Roman" w:hAnsi="Palatino Linotype" w:cs="Times New Roman"/>
      <w:sz w:val="22"/>
      <w:lang w:eastAsia="en-US"/>
    </w:rPr>
  </w:style>
  <w:style w:type="paragraph" w:styleId="ListBullet3">
    <w:name w:val="List Bullet 3"/>
    <w:basedOn w:val="Normal"/>
    <w:uiPriority w:val="99"/>
    <w:unhideWhenUsed/>
    <w:rsid w:val="00147DE0"/>
    <w:pPr>
      <w:tabs>
        <w:tab w:val="num" w:pos="1080"/>
      </w:tabs>
      <w:ind w:left="1080" w:hanging="360"/>
      <w:contextualSpacing/>
    </w:pPr>
  </w:style>
  <w:style w:type="paragraph" w:styleId="ListNumber2">
    <w:name w:val="List Number 2"/>
    <w:basedOn w:val="Normal"/>
    <w:uiPriority w:val="99"/>
    <w:unhideWhenUsed/>
    <w:rsid w:val="00147DE0"/>
    <w:pPr>
      <w:tabs>
        <w:tab w:val="num" w:pos="720"/>
      </w:tabs>
      <w:ind w:left="720" w:hanging="360"/>
      <w:contextualSpacing/>
    </w:pPr>
  </w:style>
  <w:style w:type="paragraph" w:customStyle="1" w:styleId="Disclaimer">
    <w:name w:val="Disclaimer"/>
    <w:basedOn w:val="Normal"/>
    <w:autoRedefine/>
    <w:qFormat/>
    <w:rsid w:val="00061B07"/>
    <w:pPr>
      <w:pBdr>
        <w:top w:val="single" w:sz="2" w:space="2" w:color="auto"/>
        <w:left w:val="single" w:sz="2" w:space="2" w:color="auto"/>
        <w:bottom w:val="single" w:sz="2" w:space="2" w:color="auto"/>
        <w:right w:val="single" w:sz="2" w:space="2" w:color="auto"/>
      </w:pBdr>
      <w:ind w:left="144" w:right="144"/>
    </w:pPr>
    <w:rPr>
      <w:rFonts w:ascii="Gill Sans" w:hAnsi="Gill Sans" w:cs="Gill Sans"/>
      <w:sz w:val="18"/>
      <w:szCs w:val="18"/>
    </w:rPr>
  </w:style>
  <w:style w:type="paragraph" w:styleId="ListNumber">
    <w:name w:val="List Number"/>
    <w:basedOn w:val="Normal"/>
    <w:uiPriority w:val="99"/>
    <w:unhideWhenUsed/>
    <w:rsid w:val="000826DA"/>
    <w:pPr>
      <w:numPr>
        <w:numId w:val="10"/>
      </w:numPr>
      <w:contextualSpacing/>
    </w:pPr>
  </w:style>
  <w:style w:type="paragraph" w:customStyle="1" w:styleId="Style12PtBold">
    <w:name w:val="Style 12 Pt Bold"/>
    <w:basedOn w:val="BodyText"/>
    <w:qFormat/>
    <w:rsid w:val="00F50176"/>
    <w:rPr>
      <w:b/>
      <w:sz w:val="24"/>
    </w:rPr>
  </w:style>
  <w:style w:type="character" w:styleId="PlaceholderText">
    <w:name w:val="Placeholder Text"/>
    <w:basedOn w:val="DefaultParagraphFont"/>
    <w:uiPriority w:val="99"/>
    <w:semiHidden/>
    <w:rsid w:val="00AC6F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8973">
      <w:bodyDiv w:val="1"/>
      <w:marLeft w:val="0"/>
      <w:marRight w:val="0"/>
      <w:marTop w:val="0"/>
      <w:marBottom w:val="0"/>
      <w:divBdr>
        <w:top w:val="none" w:sz="0" w:space="0" w:color="auto"/>
        <w:left w:val="none" w:sz="0" w:space="0" w:color="auto"/>
        <w:bottom w:val="none" w:sz="0" w:space="0" w:color="auto"/>
        <w:right w:val="none" w:sz="0" w:space="0" w:color="auto"/>
      </w:divBdr>
    </w:div>
    <w:div w:id="80688031">
      <w:bodyDiv w:val="1"/>
      <w:marLeft w:val="0"/>
      <w:marRight w:val="0"/>
      <w:marTop w:val="0"/>
      <w:marBottom w:val="0"/>
      <w:divBdr>
        <w:top w:val="none" w:sz="0" w:space="0" w:color="auto"/>
        <w:left w:val="none" w:sz="0" w:space="0" w:color="auto"/>
        <w:bottom w:val="none" w:sz="0" w:space="0" w:color="auto"/>
        <w:right w:val="none" w:sz="0" w:space="0" w:color="auto"/>
      </w:divBdr>
    </w:div>
    <w:div w:id="101464795">
      <w:bodyDiv w:val="1"/>
      <w:marLeft w:val="0"/>
      <w:marRight w:val="0"/>
      <w:marTop w:val="0"/>
      <w:marBottom w:val="0"/>
      <w:divBdr>
        <w:top w:val="none" w:sz="0" w:space="0" w:color="auto"/>
        <w:left w:val="none" w:sz="0" w:space="0" w:color="auto"/>
        <w:bottom w:val="none" w:sz="0" w:space="0" w:color="auto"/>
        <w:right w:val="none" w:sz="0" w:space="0" w:color="auto"/>
      </w:divBdr>
    </w:div>
    <w:div w:id="132408003">
      <w:bodyDiv w:val="1"/>
      <w:marLeft w:val="0"/>
      <w:marRight w:val="0"/>
      <w:marTop w:val="0"/>
      <w:marBottom w:val="0"/>
      <w:divBdr>
        <w:top w:val="none" w:sz="0" w:space="0" w:color="auto"/>
        <w:left w:val="none" w:sz="0" w:space="0" w:color="auto"/>
        <w:bottom w:val="none" w:sz="0" w:space="0" w:color="auto"/>
        <w:right w:val="none" w:sz="0" w:space="0" w:color="auto"/>
      </w:divBdr>
    </w:div>
    <w:div w:id="228198565">
      <w:bodyDiv w:val="1"/>
      <w:marLeft w:val="0"/>
      <w:marRight w:val="0"/>
      <w:marTop w:val="0"/>
      <w:marBottom w:val="0"/>
      <w:divBdr>
        <w:top w:val="none" w:sz="0" w:space="0" w:color="auto"/>
        <w:left w:val="none" w:sz="0" w:space="0" w:color="auto"/>
        <w:bottom w:val="none" w:sz="0" w:space="0" w:color="auto"/>
        <w:right w:val="none" w:sz="0" w:space="0" w:color="auto"/>
      </w:divBdr>
      <w:divsChild>
        <w:div w:id="37898305">
          <w:marLeft w:val="1627"/>
          <w:marRight w:val="0"/>
          <w:marTop w:val="0"/>
          <w:marBottom w:val="0"/>
          <w:divBdr>
            <w:top w:val="none" w:sz="0" w:space="0" w:color="auto"/>
            <w:left w:val="none" w:sz="0" w:space="0" w:color="auto"/>
            <w:bottom w:val="none" w:sz="0" w:space="0" w:color="auto"/>
            <w:right w:val="none" w:sz="0" w:space="0" w:color="auto"/>
          </w:divBdr>
        </w:div>
      </w:divsChild>
    </w:div>
    <w:div w:id="251206427">
      <w:bodyDiv w:val="1"/>
      <w:marLeft w:val="0"/>
      <w:marRight w:val="0"/>
      <w:marTop w:val="0"/>
      <w:marBottom w:val="0"/>
      <w:divBdr>
        <w:top w:val="none" w:sz="0" w:space="0" w:color="auto"/>
        <w:left w:val="none" w:sz="0" w:space="0" w:color="auto"/>
        <w:bottom w:val="none" w:sz="0" w:space="0" w:color="auto"/>
        <w:right w:val="none" w:sz="0" w:space="0" w:color="auto"/>
      </w:divBdr>
    </w:div>
    <w:div w:id="278031271">
      <w:bodyDiv w:val="1"/>
      <w:marLeft w:val="0"/>
      <w:marRight w:val="0"/>
      <w:marTop w:val="0"/>
      <w:marBottom w:val="0"/>
      <w:divBdr>
        <w:top w:val="none" w:sz="0" w:space="0" w:color="auto"/>
        <w:left w:val="none" w:sz="0" w:space="0" w:color="auto"/>
        <w:bottom w:val="none" w:sz="0" w:space="0" w:color="auto"/>
        <w:right w:val="none" w:sz="0" w:space="0" w:color="auto"/>
      </w:divBdr>
      <w:divsChild>
        <w:div w:id="690300188">
          <w:marLeft w:val="547"/>
          <w:marRight w:val="0"/>
          <w:marTop w:val="158"/>
          <w:marBottom w:val="0"/>
          <w:divBdr>
            <w:top w:val="none" w:sz="0" w:space="0" w:color="auto"/>
            <w:left w:val="none" w:sz="0" w:space="0" w:color="auto"/>
            <w:bottom w:val="none" w:sz="0" w:space="0" w:color="auto"/>
            <w:right w:val="none" w:sz="0" w:space="0" w:color="auto"/>
          </w:divBdr>
        </w:div>
        <w:div w:id="11960046">
          <w:marLeft w:val="547"/>
          <w:marRight w:val="0"/>
          <w:marTop w:val="158"/>
          <w:marBottom w:val="0"/>
          <w:divBdr>
            <w:top w:val="none" w:sz="0" w:space="0" w:color="auto"/>
            <w:left w:val="none" w:sz="0" w:space="0" w:color="auto"/>
            <w:bottom w:val="none" w:sz="0" w:space="0" w:color="auto"/>
            <w:right w:val="none" w:sz="0" w:space="0" w:color="auto"/>
          </w:divBdr>
        </w:div>
        <w:div w:id="717127508">
          <w:marLeft w:val="1166"/>
          <w:marRight w:val="0"/>
          <w:marTop w:val="144"/>
          <w:marBottom w:val="0"/>
          <w:divBdr>
            <w:top w:val="none" w:sz="0" w:space="0" w:color="auto"/>
            <w:left w:val="none" w:sz="0" w:space="0" w:color="auto"/>
            <w:bottom w:val="none" w:sz="0" w:space="0" w:color="auto"/>
            <w:right w:val="none" w:sz="0" w:space="0" w:color="auto"/>
          </w:divBdr>
        </w:div>
        <w:div w:id="515314249">
          <w:marLeft w:val="1166"/>
          <w:marRight w:val="0"/>
          <w:marTop w:val="144"/>
          <w:marBottom w:val="0"/>
          <w:divBdr>
            <w:top w:val="none" w:sz="0" w:space="0" w:color="auto"/>
            <w:left w:val="none" w:sz="0" w:space="0" w:color="auto"/>
            <w:bottom w:val="none" w:sz="0" w:space="0" w:color="auto"/>
            <w:right w:val="none" w:sz="0" w:space="0" w:color="auto"/>
          </w:divBdr>
        </w:div>
      </w:divsChild>
    </w:div>
    <w:div w:id="300312184">
      <w:bodyDiv w:val="1"/>
      <w:marLeft w:val="0"/>
      <w:marRight w:val="0"/>
      <w:marTop w:val="0"/>
      <w:marBottom w:val="0"/>
      <w:divBdr>
        <w:top w:val="none" w:sz="0" w:space="0" w:color="auto"/>
        <w:left w:val="none" w:sz="0" w:space="0" w:color="auto"/>
        <w:bottom w:val="none" w:sz="0" w:space="0" w:color="auto"/>
        <w:right w:val="none" w:sz="0" w:space="0" w:color="auto"/>
      </w:divBdr>
      <w:divsChild>
        <w:div w:id="80418893">
          <w:marLeft w:val="547"/>
          <w:marRight w:val="0"/>
          <w:marTop w:val="154"/>
          <w:marBottom w:val="0"/>
          <w:divBdr>
            <w:top w:val="none" w:sz="0" w:space="0" w:color="auto"/>
            <w:left w:val="none" w:sz="0" w:space="0" w:color="auto"/>
            <w:bottom w:val="none" w:sz="0" w:space="0" w:color="auto"/>
            <w:right w:val="none" w:sz="0" w:space="0" w:color="auto"/>
          </w:divBdr>
        </w:div>
        <w:div w:id="505099205">
          <w:marLeft w:val="547"/>
          <w:marRight w:val="0"/>
          <w:marTop w:val="154"/>
          <w:marBottom w:val="0"/>
          <w:divBdr>
            <w:top w:val="none" w:sz="0" w:space="0" w:color="auto"/>
            <w:left w:val="none" w:sz="0" w:space="0" w:color="auto"/>
            <w:bottom w:val="none" w:sz="0" w:space="0" w:color="auto"/>
            <w:right w:val="none" w:sz="0" w:space="0" w:color="auto"/>
          </w:divBdr>
        </w:div>
      </w:divsChild>
    </w:div>
    <w:div w:id="347172600">
      <w:bodyDiv w:val="1"/>
      <w:marLeft w:val="0"/>
      <w:marRight w:val="0"/>
      <w:marTop w:val="0"/>
      <w:marBottom w:val="0"/>
      <w:divBdr>
        <w:top w:val="none" w:sz="0" w:space="0" w:color="auto"/>
        <w:left w:val="none" w:sz="0" w:space="0" w:color="auto"/>
        <w:bottom w:val="none" w:sz="0" w:space="0" w:color="auto"/>
        <w:right w:val="none" w:sz="0" w:space="0" w:color="auto"/>
      </w:divBdr>
    </w:div>
    <w:div w:id="411045901">
      <w:bodyDiv w:val="1"/>
      <w:marLeft w:val="0"/>
      <w:marRight w:val="0"/>
      <w:marTop w:val="0"/>
      <w:marBottom w:val="0"/>
      <w:divBdr>
        <w:top w:val="none" w:sz="0" w:space="0" w:color="auto"/>
        <w:left w:val="none" w:sz="0" w:space="0" w:color="auto"/>
        <w:bottom w:val="none" w:sz="0" w:space="0" w:color="auto"/>
        <w:right w:val="none" w:sz="0" w:space="0" w:color="auto"/>
      </w:divBdr>
    </w:div>
    <w:div w:id="456489110">
      <w:bodyDiv w:val="1"/>
      <w:marLeft w:val="0"/>
      <w:marRight w:val="0"/>
      <w:marTop w:val="0"/>
      <w:marBottom w:val="0"/>
      <w:divBdr>
        <w:top w:val="none" w:sz="0" w:space="0" w:color="auto"/>
        <w:left w:val="none" w:sz="0" w:space="0" w:color="auto"/>
        <w:bottom w:val="none" w:sz="0" w:space="0" w:color="auto"/>
        <w:right w:val="none" w:sz="0" w:space="0" w:color="auto"/>
      </w:divBdr>
      <w:divsChild>
        <w:div w:id="866911776">
          <w:marLeft w:val="547"/>
          <w:marRight w:val="0"/>
          <w:marTop w:val="154"/>
          <w:marBottom w:val="0"/>
          <w:divBdr>
            <w:top w:val="none" w:sz="0" w:space="0" w:color="auto"/>
            <w:left w:val="none" w:sz="0" w:space="0" w:color="auto"/>
            <w:bottom w:val="none" w:sz="0" w:space="0" w:color="auto"/>
            <w:right w:val="none" w:sz="0" w:space="0" w:color="auto"/>
          </w:divBdr>
        </w:div>
        <w:div w:id="2019572533">
          <w:marLeft w:val="547"/>
          <w:marRight w:val="0"/>
          <w:marTop w:val="154"/>
          <w:marBottom w:val="0"/>
          <w:divBdr>
            <w:top w:val="none" w:sz="0" w:space="0" w:color="auto"/>
            <w:left w:val="none" w:sz="0" w:space="0" w:color="auto"/>
            <w:bottom w:val="none" w:sz="0" w:space="0" w:color="auto"/>
            <w:right w:val="none" w:sz="0" w:space="0" w:color="auto"/>
          </w:divBdr>
        </w:div>
        <w:div w:id="1547140285">
          <w:marLeft w:val="547"/>
          <w:marRight w:val="0"/>
          <w:marTop w:val="154"/>
          <w:marBottom w:val="0"/>
          <w:divBdr>
            <w:top w:val="none" w:sz="0" w:space="0" w:color="auto"/>
            <w:left w:val="none" w:sz="0" w:space="0" w:color="auto"/>
            <w:bottom w:val="none" w:sz="0" w:space="0" w:color="auto"/>
            <w:right w:val="none" w:sz="0" w:space="0" w:color="auto"/>
          </w:divBdr>
        </w:div>
        <w:div w:id="861287994">
          <w:marLeft w:val="547"/>
          <w:marRight w:val="0"/>
          <w:marTop w:val="154"/>
          <w:marBottom w:val="0"/>
          <w:divBdr>
            <w:top w:val="none" w:sz="0" w:space="0" w:color="auto"/>
            <w:left w:val="none" w:sz="0" w:space="0" w:color="auto"/>
            <w:bottom w:val="none" w:sz="0" w:space="0" w:color="auto"/>
            <w:right w:val="none" w:sz="0" w:space="0" w:color="auto"/>
          </w:divBdr>
        </w:div>
        <w:div w:id="219755416">
          <w:marLeft w:val="547"/>
          <w:marRight w:val="0"/>
          <w:marTop w:val="154"/>
          <w:marBottom w:val="0"/>
          <w:divBdr>
            <w:top w:val="none" w:sz="0" w:space="0" w:color="auto"/>
            <w:left w:val="none" w:sz="0" w:space="0" w:color="auto"/>
            <w:bottom w:val="none" w:sz="0" w:space="0" w:color="auto"/>
            <w:right w:val="none" w:sz="0" w:space="0" w:color="auto"/>
          </w:divBdr>
        </w:div>
        <w:div w:id="496385743">
          <w:marLeft w:val="547"/>
          <w:marRight w:val="0"/>
          <w:marTop w:val="154"/>
          <w:marBottom w:val="0"/>
          <w:divBdr>
            <w:top w:val="none" w:sz="0" w:space="0" w:color="auto"/>
            <w:left w:val="none" w:sz="0" w:space="0" w:color="auto"/>
            <w:bottom w:val="none" w:sz="0" w:space="0" w:color="auto"/>
            <w:right w:val="none" w:sz="0" w:space="0" w:color="auto"/>
          </w:divBdr>
        </w:div>
      </w:divsChild>
    </w:div>
    <w:div w:id="475412369">
      <w:bodyDiv w:val="1"/>
      <w:marLeft w:val="0"/>
      <w:marRight w:val="0"/>
      <w:marTop w:val="0"/>
      <w:marBottom w:val="0"/>
      <w:divBdr>
        <w:top w:val="none" w:sz="0" w:space="0" w:color="auto"/>
        <w:left w:val="none" w:sz="0" w:space="0" w:color="auto"/>
        <w:bottom w:val="none" w:sz="0" w:space="0" w:color="auto"/>
        <w:right w:val="none" w:sz="0" w:space="0" w:color="auto"/>
      </w:divBdr>
    </w:div>
    <w:div w:id="606542624">
      <w:bodyDiv w:val="1"/>
      <w:marLeft w:val="0"/>
      <w:marRight w:val="0"/>
      <w:marTop w:val="0"/>
      <w:marBottom w:val="0"/>
      <w:divBdr>
        <w:top w:val="none" w:sz="0" w:space="0" w:color="auto"/>
        <w:left w:val="none" w:sz="0" w:space="0" w:color="auto"/>
        <w:bottom w:val="none" w:sz="0" w:space="0" w:color="auto"/>
        <w:right w:val="none" w:sz="0" w:space="0" w:color="auto"/>
      </w:divBdr>
      <w:divsChild>
        <w:div w:id="1922327203">
          <w:marLeft w:val="0"/>
          <w:marRight w:val="0"/>
          <w:marTop w:val="0"/>
          <w:marBottom w:val="0"/>
          <w:divBdr>
            <w:top w:val="none" w:sz="0" w:space="0" w:color="auto"/>
            <w:left w:val="none" w:sz="0" w:space="0" w:color="auto"/>
            <w:bottom w:val="none" w:sz="0" w:space="0" w:color="auto"/>
            <w:right w:val="none" w:sz="0" w:space="0" w:color="auto"/>
          </w:divBdr>
        </w:div>
      </w:divsChild>
    </w:div>
    <w:div w:id="740368657">
      <w:bodyDiv w:val="1"/>
      <w:marLeft w:val="0"/>
      <w:marRight w:val="0"/>
      <w:marTop w:val="0"/>
      <w:marBottom w:val="0"/>
      <w:divBdr>
        <w:top w:val="none" w:sz="0" w:space="0" w:color="auto"/>
        <w:left w:val="none" w:sz="0" w:space="0" w:color="auto"/>
        <w:bottom w:val="none" w:sz="0" w:space="0" w:color="auto"/>
        <w:right w:val="none" w:sz="0" w:space="0" w:color="auto"/>
      </w:divBdr>
      <w:divsChild>
        <w:div w:id="280957210">
          <w:marLeft w:val="0"/>
          <w:marRight w:val="0"/>
          <w:marTop w:val="0"/>
          <w:marBottom w:val="0"/>
          <w:divBdr>
            <w:top w:val="none" w:sz="0" w:space="0" w:color="auto"/>
            <w:left w:val="none" w:sz="0" w:space="0" w:color="auto"/>
            <w:bottom w:val="none" w:sz="0" w:space="0" w:color="auto"/>
            <w:right w:val="none" w:sz="0" w:space="0" w:color="auto"/>
          </w:divBdr>
        </w:div>
      </w:divsChild>
    </w:div>
    <w:div w:id="754592379">
      <w:bodyDiv w:val="1"/>
      <w:marLeft w:val="0"/>
      <w:marRight w:val="0"/>
      <w:marTop w:val="0"/>
      <w:marBottom w:val="0"/>
      <w:divBdr>
        <w:top w:val="none" w:sz="0" w:space="0" w:color="auto"/>
        <w:left w:val="none" w:sz="0" w:space="0" w:color="auto"/>
        <w:bottom w:val="none" w:sz="0" w:space="0" w:color="auto"/>
        <w:right w:val="none" w:sz="0" w:space="0" w:color="auto"/>
      </w:divBdr>
    </w:div>
    <w:div w:id="836572811">
      <w:bodyDiv w:val="1"/>
      <w:marLeft w:val="0"/>
      <w:marRight w:val="0"/>
      <w:marTop w:val="0"/>
      <w:marBottom w:val="0"/>
      <w:divBdr>
        <w:top w:val="none" w:sz="0" w:space="0" w:color="auto"/>
        <w:left w:val="none" w:sz="0" w:space="0" w:color="auto"/>
        <w:bottom w:val="none" w:sz="0" w:space="0" w:color="auto"/>
        <w:right w:val="none" w:sz="0" w:space="0" w:color="auto"/>
      </w:divBdr>
    </w:div>
    <w:div w:id="845289846">
      <w:bodyDiv w:val="1"/>
      <w:marLeft w:val="0"/>
      <w:marRight w:val="0"/>
      <w:marTop w:val="0"/>
      <w:marBottom w:val="0"/>
      <w:divBdr>
        <w:top w:val="none" w:sz="0" w:space="0" w:color="auto"/>
        <w:left w:val="none" w:sz="0" w:space="0" w:color="auto"/>
        <w:bottom w:val="none" w:sz="0" w:space="0" w:color="auto"/>
        <w:right w:val="none" w:sz="0" w:space="0" w:color="auto"/>
      </w:divBdr>
      <w:divsChild>
        <w:div w:id="843545495">
          <w:marLeft w:val="547"/>
          <w:marRight w:val="0"/>
          <w:marTop w:val="154"/>
          <w:marBottom w:val="0"/>
          <w:divBdr>
            <w:top w:val="none" w:sz="0" w:space="0" w:color="auto"/>
            <w:left w:val="none" w:sz="0" w:space="0" w:color="auto"/>
            <w:bottom w:val="none" w:sz="0" w:space="0" w:color="auto"/>
            <w:right w:val="none" w:sz="0" w:space="0" w:color="auto"/>
          </w:divBdr>
        </w:div>
        <w:div w:id="1026102153">
          <w:marLeft w:val="547"/>
          <w:marRight w:val="0"/>
          <w:marTop w:val="154"/>
          <w:marBottom w:val="0"/>
          <w:divBdr>
            <w:top w:val="none" w:sz="0" w:space="0" w:color="auto"/>
            <w:left w:val="none" w:sz="0" w:space="0" w:color="auto"/>
            <w:bottom w:val="none" w:sz="0" w:space="0" w:color="auto"/>
            <w:right w:val="none" w:sz="0" w:space="0" w:color="auto"/>
          </w:divBdr>
        </w:div>
        <w:div w:id="410322940">
          <w:marLeft w:val="1267"/>
          <w:marRight w:val="0"/>
          <w:marTop w:val="154"/>
          <w:marBottom w:val="0"/>
          <w:divBdr>
            <w:top w:val="none" w:sz="0" w:space="0" w:color="auto"/>
            <w:left w:val="none" w:sz="0" w:space="0" w:color="auto"/>
            <w:bottom w:val="none" w:sz="0" w:space="0" w:color="auto"/>
            <w:right w:val="none" w:sz="0" w:space="0" w:color="auto"/>
          </w:divBdr>
        </w:div>
        <w:div w:id="743574043">
          <w:marLeft w:val="1267"/>
          <w:marRight w:val="0"/>
          <w:marTop w:val="154"/>
          <w:marBottom w:val="0"/>
          <w:divBdr>
            <w:top w:val="none" w:sz="0" w:space="0" w:color="auto"/>
            <w:left w:val="none" w:sz="0" w:space="0" w:color="auto"/>
            <w:bottom w:val="none" w:sz="0" w:space="0" w:color="auto"/>
            <w:right w:val="none" w:sz="0" w:space="0" w:color="auto"/>
          </w:divBdr>
        </w:div>
      </w:divsChild>
    </w:div>
    <w:div w:id="861938984">
      <w:bodyDiv w:val="1"/>
      <w:marLeft w:val="0"/>
      <w:marRight w:val="0"/>
      <w:marTop w:val="0"/>
      <w:marBottom w:val="0"/>
      <w:divBdr>
        <w:top w:val="none" w:sz="0" w:space="0" w:color="auto"/>
        <w:left w:val="none" w:sz="0" w:space="0" w:color="auto"/>
        <w:bottom w:val="none" w:sz="0" w:space="0" w:color="auto"/>
        <w:right w:val="none" w:sz="0" w:space="0" w:color="auto"/>
      </w:divBdr>
    </w:div>
    <w:div w:id="868296732">
      <w:bodyDiv w:val="1"/>
      <w:marLeft w:val="0"/>
      <w:marRight w:val="0"/>
      <w:marTop w:val="0"/>
      <w:marBottom w:val="0"/>
      <w:divBdr>
        <w:top w:val="none" w:sz="0" w:space="0" w:color="auto"/>
        <w:left w:val="none" w:sz="0" w:space="0" w:color="auto"/>
        <w:bottom w:val="none" w:sz="0" w:space="0" w:color="auto"/>
        <w:right w:val="none" w:sz="0" w:space="0" w:color="auto"/>
      </w:divBdr>
      <w:divsChild>
        <w:div w:id="1644046412">
          <w:marLeft w:val="547"/>
          <w:marRight w:val="0"/>
          <w:marTop w:val="192"/>
          <w:marBottom w:val="0"/>
          <w:divBdr>
            <w:top w:val="none" w:sz="0" w:space="0" w:color="auto"/>
            <w:left w:val="none" w:sz="0" w:space="0" w:color="auto"/>
            <w:bottom w:val="none" w:sz="0" w:space="0" w:color="auto"/>
            <w:right w:val="none" w:sz="0" w:space="0" w:color="auto"/>
          </w:divBdr>
        </w:div>
        <w:div w:id="1327904508">
          <w:marLeft w:val="547"/>
          <w:marRight w:val="0"/>
          <w:marTop w:val="192"/>
          <w:marBottom w:val="0"/>
          <w:divBdr>
            <w:top w:val="none" w:sz="0" w:space="0" w:color="auto"/>
            <w:left w:val="none" w:sz="0" w:space="0" w:color="auto"/>
            <w:bottom w:val="none" w:sz="0" w:space="0" w:color="auto"/>
            <w:right w:val="none" w:sz="0" w:space="0" w:color="auto"/>
          </w:divBdr>
        </w:div>
        <w:div w:id="401677910">
          <w:marLeft w:val="547"/>
          <w:marRight w:val="0"/>
          <w:marTop w:val="192"/>
          <w:marBottom w:val="0"/>
          <w:divBdr>
            <w:top w:val="none" w:sz="0" w:space="0" w:color="auto"/>
            <w:left w:val="none" w:sz="0" w:space="0" w:color="auto"/>
            <w:bottom w:val="none" w:sz="0" w:space="0" w:color="auto"/>
            <w:right w:val="none" w:sz="0" w:space="0" w:color="auto"/>
          </w:divBdr>
        </w:div>
        <w:div w:id="161089321">
          <w:marLeft w:val="547"/>
          <w:marRight w:val="0"/>
          <w:marTop w:val="192"/>
          <w:marBottom w:val="0"/>
          <w:divBdr>
            <w:top w:val="none" w:sz="0" w:space="0" w:color="auto"/>
            <w:left w:val="none" w:sz="0" w:space="0" w:color="auto"/>
            <w:bottom w:val="none" w:sz="0" w:space="0" w:color="auto"/>
            <w:right w:val="none" w:sz="0" w:space="0" w:color="auto"/>
          </w:divBdr>
        </w:div>
        <w:div w:id="1509178870">
          <w:marLeft w:val="547"/>
          <w:marRight w:val="0"/>
          <w:marTop w:val="192"/>
          <w:marBottom w:val="0"/>
          <w:divBdr>
            <w:top w:val="none" w:sz="0" w:space="0" w:color="auto"/>
            <w:left w:val="none" w:sz="0" w:space="0" w:color="auto"/>
            <w:bottom w:val="none" w:sz="0" w:space="0" w:color="auto"/>
            <w:right w:val="none" w:sz="0" w:space="0" w:color="auto"/>
          </w:divBdr>
        </w:div>
      </w:divsChild>
    </w:div>
    <w:div w:id="924340750">
      <w:bodyDiv w:val="1"/>
      <w:marLeft w:val="0"/>
      <w:marRight w:val="0"/>
      <w:marTop w:val="0"/>
      <w:marBottom w:val="0"/>
      <w:divBdr>
        <w:top w:val="none" w:sz="0" w:space="0" w:color="auto"/>
        <w:left w:val="none" w:sz="0" w:space="0" w:color="auto"/>
        <w:bottom w:val="none" w:sz="0" w:space="0" w:color="auto"/>
        <w:right w:val="none" w:sz="0" w:space="0" w:color="auto"/>
      </w:divBdr>
    </w:div>
    <w:div w:id="930627261">
      <w:bodyDiv w:val="1"/>
      <w:marLeft w:val="0"/>
      <w:marRight w:val="0"/>
      <w:marTop w:val="0"/>
      <w:marBottom w:val="0"/>
      <w:divBdr>
        <w:top w:val="none" w:sz="0" w:space="0" w:color="auto"/>
        <w:left w:val="none" w:sz="0" w:space="0" w:color="auto"/>
        <w:bottom w:val="none" w:sz="0" w:space="0" w:color="auto"/>
        <w:right w:val="none" w:sz="0" w:space="0" w:color="auto"/>
      </w:divBdr>
    </w:div>
    <w:div w:id="948001026">
      <w:bodyDiv w:val="1"/>
      <w:marLeft w:val="0"/>
      <w:marRight w:val="0"/>
      <w:marTop w:val="0"/>
      <w:marBottom w:val="0"/>
      <w:divBdr>
        <w:top w:val="none" w:sz="0" w:space="0" w:color="auto"/>
        <w:left w:val="none" w:sz="0" w:space="0" w:color="auto"/>
        <w:bottom w:val="none" w:sz="0" w:space="0" w:color="auto"/>
        <w:right w:val="none" w:sz="0" w:space="0" w:color="auto"/>
      </w:divBdr>
    </w:div>
    <w:div w:id="993217542">
      <w:bodyDiv w:val="1"/>
      <w:marLeft w:val="0"/>
      <w:marRight w:val="0"/>
      <w:marTop w:val="0"/>
      <w:marBottom w:val="0"/>
      <w:divBdr>
        <w:top w:val="none" w:sz="0" w:space="0" w:color="auto"/>
        <w:left w:val="none" w:sz="0" w:space="0" w:color="auto"/>
        <w:bottom w:val="none" w:sz="0" w:space="0" w:color="auto"/>
        <w:right w:val="none" w:sz="0" w:space="0" w:color="auto"/>
      </w:divBdr>
    </w:div>
    <w:div w:id="1113398077">
      <w:bodyDiv w:val="1"/>
      <w:marLeft w:val="0"/>
      <w:marRight w:val="0"/>
      <w:marTop w:val="0"/>
      <w:marBottom w:val="0"/>
      <w:divBdr>
        <w:top w:val="none" w:sz="0" w:space="0" w:color="auto"/>
        <w:left w:val="none" w:sz="0" w:space="0" w:color="auto"/>
        <w:bottom w:val="none" w:sz="0" w:space="0" w:color="auto"/>
        <w:right w:val="none" w:sz="0" w:space="0" w:color="auto"/>
      </w:divBdr>
    </w:div>
    <w:div w:id="1131484197">
      <w:bodyDiv w:val="1"/>
      <w:marLeft w:val="0"/>
      <w:marRight w:val="0"/>
      <w:marTop w:val="0"/>
      <w:marBottom w:val="0"/>
      <w:divBdr>
        <w:top w:val="none" w:sz="0" w:space="0" w:color="auto"/>
        <w:left w:val="none" w:sz="0" w:space="0" w:color="auto"/>
        <w:bottom w:val="none" w:sz="0" w:space="0" w:color="auto"/>
        <w:right w:val="none" w:sz="0" w:space="0" w:color="auto"/>
      </w:divBdr>
    </w:div>
    <w:div w:id="1310133742">
      <w:bodyDiv w:val="1"/>
      <w:marLeft w:val="0"/>
      <w:marRight w:val="0"/>
      <w:marTop w:val="0"/>
      <w:marBottom w:val="0"/>
      <w:divBdr>
        <w:top w:val="none" w:sz="0" w:space="0" w:color="auto"/>
        <w:left w:val="none" w:sz="0" w:space="0" w:color="auto"/>
        <w:bottom w:val="none" w:sz="0" w:space="0" w:color="auto"/>
        <w:right w:val="none" w:sz="0" w:space="0" w:color="auto"/>
      </w:divBdr>
    </w:div>
    <w:div w:id="1483695932">
      <w:bodyDiv w:val="1"/>
      <w:marLeft w:val="0"/>
      <w:marRight w:val="0"/>
      <w:marTop w:val="0"/>
      <w:marBottom w:val="0"/>
      <w:divBdr>
        <w:top w:val="none" w:sz="0" w:space="0" w:color="auto"/>
        <w:left w:val="none" w:sz="0" w:space="0" w:color="auto"/>
        <w:bottom w:val="none" w:sz="0" w:space="0" w:color="auto"/>
        <w:right w:val="none" w:sz="0" w:space="0" w:color="auto"/>
      </w:divBdr>
    </w:div>
    <w:div w:id="1507862213">
      <w:bodyDiv w:val="1"/>
      <w:marLeft w:val="0"/>
      <w:marRight w:val="0"/>
      <w:marTop w:val="0"/>
      <w:marBottom w:val="0"/>
      <w:divBdr>
        <w:top w:val="none" w:sz="0" w:space="0" w:color="auto"/>
        <w:left w:val="none" w:sz="0" w:space="0" w:color="auto"/>
        <w:bottom w:val="none" w:sz="0" w:space="0" w:color="auto"/>
        <w:right w:val="none" w:sz="0" w:space="0" w:color="auto"/>
      </w:divBdr>
    </w:div>
    <w:div w:id="1731032115">
      <w:bodyDiv w:val="1"/>
      <w:marLeft w:val="0"/>
      <w:marRight w:val="0"/>
      <w:marTop w:val="0"/>
      <w:marBottom w:val="0"/>
      <w:divBdr>
        <w:top w:val="none" w:sz="0" w:space="0" w:color="auto"/>
        <w:left w:val="none" w:sz="0" w:space="0" w:color="auto"/>
        <w:bottom w:val="none" w:sz="0" w:space="0" w:color="auto"/>
        <w:right w:val="none" w:sz="0" w:space="0" w:color="auto"/>
      </w:divBdr>
      <w:divsChild>
        <w:div w:id="1365255635">
          <w:marLeft w:val="547"/>
          <w:marRight w:val="0"/>
          <w:marTop w:val="173"/>
          <w:marBottom w:val="0"/>
          <w:divBdr>
            <w:top w:val="none" w:sz="0" w:space="0" w:color="auto"/>
            <w:left w:val="none" w:sz="0" w:space="0" w:color="auto"/>
            <w:bottom w:val="none" w:sz="0" w:space="0" w:color="auto"/>
            <w:right w:val="none" w:sz="0" w:space="0" w:color="auto"/>
          </w:divBdr>
        </w:div>
        <w:div w:id="212355619">
          <w:marLeft w:val="547"/>
          <w:marRight w:val="0"/>
          <w:marTop w:val="173"/>
          <w:marBottom w:val="0"/>
          <w:divBdr>
            <w:top w:val="none" w:sz="0" w:space="0" w:color="auto"/>
            <w:left w:val="none" w:sz="0" w:space="0" w:color="auto"/>
            <w:bottom w:val="none" w:sz="0" w:space="0" w:color="auto"/>
            <w:right w:val="none" w:sz="0" w:space="0" w:color="auto"/>
          </w:divBdr>
        </w:div>
        <w:div w:id="1560942860">
          <w:marLeft w:val="547"/>
          <w:marRight w:val="0"/>
          <w:marTop w:val="173"/>
          <w:marBottom w:val="0"/>
          <w:divBdr>
            <w:top w:val="none" w:sz="0" w:space="0" w:color="auto"/>
            <w:left w:val="none" w:sz="0" w:space="0" w:color="auto"/>
            <w:bottom w:val="none" w:sz="0" w:space="0" w:color="auto"/>
            <w:right w:val="none" w:sz="0" w:space="0" w:color="auto"/>
          </w:divBdr>
        </w:div>
      </w:divsChild>
    </w:div>
    <w:div w:id="1780291836">
      <w:bodyDiv w:val="1"/>
      <w:marLeft w:val="0"/>
      <w:marRight w:val="0"/>
      <w:marTop w:val="0"/>
      <w:marBottom w:val="0"/>
      <w:divBdr>
        <w:top w:val="none" w:sz="0" w:space="0" w:color="auto"/>
        <w:left w:val="none" w:sz="0" w:space="0" w:color="auto"/>
        <w:bottom w:val="none" w:sz="0" w:space="0" w:color="auto"/>
        <w:right w:val="none" w:sz="0" w:space="0" w:color="auto"/>
      </w:divBdr>
      <w:divsChild>
        <w:div w:id="2010283838">
          <w:marLeft w:val="547"/>
          <w:marRight w:val="0"/>
          <w:marTop w:val="154"/>
          <w:marBottom w:val="0"/>
          <w:divBdr>
            <w:top w:val="none" w:sz="0" w:space="0" w:color="auto"/>
            <w:left w:val="none" w:sz="0" w:space="0" w:color="auto"/>
            <w:bottom w:val="none" w:sz="0" w:space="0" w:color="auto"/>
            <w:right w:val="none" w:sz="0" w:space="0" w:color="auto"/>
          </w:divBdr>
        </w:div>
        <w:div w:id="2061435330">
          <w:marLeft w:val="547"/>
          <w:marRight w:val="0"/>
          <w:marTop w:val="154"/>
          <w:marBottom w:val="0"/>
          <w:divBdr>
            <w:top w:val="none" w:sz="0" w:space="0" w:color="auto"/>
            <w:left w:val="none" w:sz="0" w:space="0" w:color="auto"/>
            <w:bottom w:val="none" w:sz="0" w:space="0" w:color="auto"/>
            <w:right w:val="none" w:sz="0" w:space="0" w:color="auto"/>
          </w:divBdr>
        </w:div>
      </w:divsChild>
    </w:div>
    <w:div w:id="1850365931">
      <w:bodyDiv w:val="1"/>
      <w:marLeft w:val="0"/>
      <w:marRight w:val="0"/>
      <w:marTop w:val="0"/>
      <w:marBottom w:val="0"/>
      <w:divBdr>
        <w:top w:val="none" w:sz="0" w:space="0" w:color="auto"/>
        <w:left w:val="none" w:sz="0" w:space="0" w:color="auto"/>
        <w:bottom w:val="none" w:sz="0" w:space="0" w:color="auto"/>
        <w:right w:val="none" w:sz="0" w:space="0" w:color="auto"/>
      </w:divBdr>
    </w:div>
    <w:div w:id="2005545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nservationtools.org/guides/75" TargetMode="External"/><Relationship Id="rId20" Type="http://schemas.openxmlformats.org/officeDocument/2006/relationships/hyperlink" Target="http://conservationtools.org/experts/962" TargetMode="External"/><Relationship Id="rId21" Type="http://schemas.openxmlformats.org/officeDocument/2006/relationships/hyperlink" Target="http://conservationtools.org/experts/4" TargetMode="External"/><Relationship Id="rId22" Type="http://schemas.openxmlformats.org/officeDocument/2006/relationships/hyperlink" Target="http://conservationtools.org"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header" Target="header3.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conservationtools.org/library_items/643" TargetMode="External"/><Relationship Id="rId11" Type="http://schemas.openxmlformats.org/officeDocument/2006/relationships/hyperlink" Target="http://conservationtools.org/guides/75" TargetMode="External"/><Relationship Id="rId12" Type="http://schemas.openxmlformats.org/officeDocument/2006/relationships/hyperlink" Target="http://conservationtools.org/library_items/637" TargetMode="External"/><Relationship Id="rId13" Type="http://schemas.openxmlformats.org/officeDocument/2006/relationships/hyperlink" Target="http://conservationtools.org/library_items/1444" TargetMode="External"/><Relationship Id="rId14" Type="http://schemas.openxmlformats.org/officeDocument/2006/relationships/hyperlink" Target="http://conservationtools.org/guides/12" TargetMode="External"/><Relationship Id="rId15" Type="http://schemas.openxmlformats.org/officeDocument/2006/relationships/hyperlink" Target="http://conservationtools.org/guides/9" TargetMode="External"/><Relationship Id="rId16" Type="http://schemas.openxmlformats.org/officeDocument/2006/relationships/hyperlink" Target="http://conservationtools.org/guides/46" TargetMode="External"/><Relationship Id="rId17" Type="http://schemas.openxmlformats.org/officeDocument/2006/relationships/hyperlink" Target="http://conservationtools.org/guides/42" TargetMode="External"/><Relationship Id="rId18" Type="http://schemas.openxmlformats.org/officeDocument/2006/relationships/hyperlink" Target="mailto:aloza@conserveland.org" TargetMode="External"/><Relationship Id="rId19" Type="http://schemas.openxmlformats.org/officeDocument/2006/relationships/hyperlink" Target="http://conservationtools.org/experts/18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nservationtools.org/glossary/9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AD8D5-16D7-AF48-9D0E-D7CB9F5B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2675</Words>
  <Characters>15251</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Pennsylvania Land Trust Association</Company>
  <LinksUpToDate>false</LinksUpToDate>
  <CharactersWithSpaces>17891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Loza</dc:creator>
  <cp:keywords/>
  <dc:description/>
  <cp:lastModifiedBy>Andrew M. Loza</cp:lastModifiedBy>
  <cp:revision>7</cp:revision>
  <cp:lastPrinted>2017-04-12T16:36:00Z</cp:lastPrinted>
  <dcterms:created xsi:type="dcterms:W3CDTF">2017-04-20T15:16:00Z</dcterms:created>
  <dcterms:modified xsi:type="dcterms:W3CDTF">2017-05-23T21:00:00Z</dcterms:modified>
  <cp:category/>
</cp:coreProperties>
</file>