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2944H"/>
    <w:p w14:paraId="5ED69585" w14:textId="77777777" w:rsidR="00666093" w:rsidRDefault="009F356F">
      <w:pPr>
        <w:pStyle w:val="TOC1"/>
        <w:rPr>
          <w:rFonts w:asciiTheme="minorHAnsi" w:eastAsiaTheme="minorEastAsia" w:hAnsiTheme="minorHAnsi" w:cstheme="minorBidi"/>
          <w:b w:val="0"/>
          <w:sz w:val="24"/>
          <w:szCs w:val="24"/>
          <w:lang w:eastAsia="ja-JP"/>
        </w:rPr>
      </w:pPr>
      <w:r>
        <w:rPr>
          <w:b w:val="0"/>
          <w:sz w:val="24"/>
        </w:rPr>
        <w:fldChar w:fldCharType="begin"/>
      </w:r>
      <w:r>
        <w:rPr>
          <w:b w:val="0"/>
          <w:sz w:val="24"/>
        </w:rPr>
        <w:instrText xml:space="preserve"> TOC \o "1-2" \p " " </w:instrText>
      </w:r>
      <w:r>
        <w:rPr>
          <w:b w:val="0"/>
          <w:sz w:val="24"/>
        </w:rPr>
        <w:fldChar w:fldCharType="separate"/>
      </w:r>
      <w:r w:rsidR="00666093">
        <w:t xml:space="preserve">Content and Relationship to Other Guidance </w:t>
      </w:r>
      <w:r w:rsidR="00666093">
        <w:fldChar w:fldCharType="begin"/>
      </w:r>
      <w:r w:rsidR="00666093">
        <w:instrText xml:space="preserve"> PAGEREF _Toc288819800 \h </w:instrText>
      </w:r>
      <w:r w:rsidR="00666093">
        <w:fldChar w:fldCharType="separate"/>
      </w:r>
      <w:r w:rsidR="00666093">
        <w:t>1</w:t>
      </w:r>
      <w:r w:rsidR="00666093">
        <w:fldChar w:fldCharType="end"/>
      </w:r>
    </w:p>
    <w:p w14:paraId="6932E555" w14:textId="77777777" w:rsidR="00666093" w:rsidRDefault="00666093">
      <w:pPr>
        <w:pStyle w:val="TOC1"/>
        <w:rPr>
          <w:rFonts w:asciiTheme="minorHAnsi" w:eastAsiaTheme="minorEastAsia" w:hAnsiTheme="minorHAnsi" w:cstheme="minorBidi"/>
          <w:b w:val="0"/>
          <w:sz w:val="24"/>
          <w:szCs w:val="24"/>
          <w:lang w:eastAsia="ja-JP"/>
        </w:rPr>
      </w:pPr>
      <w:r>
        <w:t xml:space="preserve">Basic Constraints on Amendment </w:t>
      </w:r>
      <w:r>
        <w:fldChar w:fldCharType="begin"/>
      </w:r>
      <w:r>
        <w:instrText xml:space="preserve"> PAGEREF _Toc288819801 \h </w:instrText>
      </w:r>
      <w:r>
        <w:fldChar w:fldCharType="separate"/>
      </w:r>
      <w:r>
        <w:t>2</w:t>
      </w:r>
      <w:r>
        <w:fldChar w:fldCharType="end"/>
      </w:r>
    </w:p>
    <w:p w14:paraId="6094DBCC" w14:textId="77777777" w:rsidR="00666093" w:rsidRDefault="00666093">
      <w:pPr>
        <w:pStyle w:val="TOC2"/>
        <w:rPr>
          <w:rFonts w:asciiTheme="minorHAnsi" w:eastAsiaTheme="minorEastAsia" w:hAnsiTheme="minorHAnsi" w:cstheme="minorBidi"/>
          <w:sz w:val="24"/>
          <w:lang w:eastAsia="ja-JP"/>
        </w:rPr>
      </w:pPr>
      <w:r>
        <w:t xml:space="preserve">Freedom to Amend </w:t>
      </w:r>
      <w:r>
        <w:fldChar w:fldCharType="begin"/>
      </w:r>
      <w:r>
        <w:instrText xml:space="preserve"> PAGEREF _Toc288819802 \h </w:instrText>
      </w:r>
      <w:r>
        <w:fldChar w:fldCharType="separate"/>
      </w:r>
      <w:r>
        <w:t>2</w:t>
      </w:r>
      <w:r>
        <w:fldChar w:fldCharType="end"/>
      </w:r>
    </w:p>
    <w:p w14:paraId="49C10CDB" w14:textId="77777777" w:rsidR="00666093" w:rsidRDefault="00666093">
      <w:pPr>
        <w:pStyle w:val="TOC2"/>
        <w:rPr>
          <w:rFonts w:asciiTheme="minorHAnsi" w:eastAsiaTheme="minorEastAsia" w:hAnsiTheme="minorHAnsi" w:cstheme="minorBidi"/>
          <w:sz w:val="24"/>
          <w:lang w:eastAsia="ja-JP"/>
        </w:rPr>
      </w:pPr>
      <w:r>
        <w:t xml:space="preserve">Holder Duties under the Grant </w:t>
      </w:r>
      <w:r>
        <w:fldChar w:fldCharType="begin"/>
      </w:r>
      <w:r>
        <w:instrText xml:space="preserve"> PAGEREF _Toc288819803 \h </w:instrText>
      </w:r>
      <w:r>
        <w:fldChar w:fldCharType="separate"/>
      </w:r>
      <w:r>
        <w:t>3</w:t>
      </w:r>
      <w:r>
        <w:fldChar w:fldCharType="end"/>
      </w:r>
    </w:p>
    <w:p w14:paraId="0E170F0B" w14:textId="77777777" w:rsidR="00666093" w:rsidRDefault="00666093">
      <w:pPr>
        <w:pStyle w:val="TOC2"/>
        <w:rPr>
          <w:rFonts w:asciiTheme="minorHAnsi" w:eastAsiaTheme="minorEastAsia" w:hAnsiTheme="minorHAnsi" w:cstheme="minorBidi"/>
          <w:sz w:val="24"/>
          <w:lang w:eastAsia="ja-JP"/>
        </w:rPr>
      </w:pPr>
      <w:r>
        <w:t xml:space="preserve">Legal Constraints </w:t>
      </w:r>
      <w:r>
        <w:fldChar w:fldCharType="begin"/>
      </w:r>
      <w:r>
        <w:instrText xml:space="preserve"> PAGEREF _Toc288819804 \h </w:instrText>
      </w:r>
      <w:r>
        <w:fldChar w:fldCharType="separate"/>
      </w:r>
      <w:r>
        <w:t>3</w:t>
      </w:r>
      <w:r>
        <w:fldChar w:fldCharType="end"/>
      </w:r>
    </w:p>
    <w:p w14:paraId="25A8D88A" w14:textId="77777777" w:rsidR="00666093" w:rsidRDefault="00666093">
      <w:pPr>
        <w:pStyle w:val="TOC1"/>
        <w:rPr>
          <w:rFonts w:asciiTheme="minorHAnsi" w:eastAsiaTheme="minorEastAsia" w:hAnsiTheme="minorHAnsi" w:cstheme="minorBidi"/>
          <w:b w:val="0"/>
          <w:sz w:val="24"/>
          <w:szCs w:val="24"/>
          <w:lang w:eastAsia="ja-JP"/>
        </w:rPr>
      </w:pPr>
      <w:r>
        <w:t xml:space="preserve">General Rules for Amendment, Release or Termination of Grant </w:t>
      </w:r>
      <w:r>
        <w:fldChar w:fldCharType="begin"/>
      </w:r>
      <w:r>
        <w:instrText xml:space="preserve"> PAGEREF _Toc288819805 \h </w:instrText>
      </w:r>
      <w:r>
        <w:fldChar w:fldCharType="separate"/>
      </w:r>
      <w:r>
        <w:t>3</w:t>
      </w:r>
      <w:r>
        <w:fldChar w:fldCharType="end"/>
      </w:r>
    </w:p>
    <w:p w14:paraId="5987DACE" w14:textId="77777777" w:rsidR="00666093" w:rsidRDefault="00666093">
      <w:pPr>
        <w:pStyle w:val="TOC2"/>
        <w:rPr>
          <w:rFonts w:asciiTheme="minorHAnsi" w:eastAsiaTheme="minorEastAsia" w:hAnsiTheme="minorHAnsi" w:cstheme="minorBidi"/>
          <w:sz w:val="24"/>
          <w:lang w:eastAsia="ja-JP"/>
        </w:rPr>
      </w:pPr>
      <w:r>
        <w:t xml:space="preserve">Amendment of Grant </w:t>
      </w:r>
      <w:r>
        <w:fldChar w:fldCharType="begin"/>
      </w:r>
      <w:r>
        <w:instrText xml:space="preserve"> PAGEREF _Toc288819806 \h </w:instrText>
      </w:r>
      <w:r>
        <w:fldChar w:fldCharType="separate"/>
      </w:r>
      <w:r>
        <w:t>3</w:t>
      </w:r>
      <w:r>
        <w:fldChar w:fldCharType="end"/>
      </w:r>
    </w:p>
    <w:p w14:paraId="4BE20546" w14:textId="77777777" w:rsidR="00666093" w:rsidRDefault="00666093">
      <w:pPr>
        <w:pStyle w:val="TOC2"/>
        <w:rPr>
          <w:rFonts w:asciiTheme="minorHAnsi" w:eastAsiaTheme="minorEastAsia" w:hAnsiTheme="minorHAnsi" w:cstheme="minorBidi"/>
          <w:sz w:val="24"/>
          <w:lang w:eastAsia="ja-JP"/>
        </w:rPr>
      </w:pPr>
      <w:r>
        <w:t xml:space="preserve">Release of Easement </w:t>
      </w:r>
      <w:r>
        <w:fldChar w:fldCharType="begin"/>
      </w:r>
      <w:r>
        <w:instrText xml:space="preserve"> PAGEREF _Toc288819807 \h </w:instrText>
      </w:r>
      <w:r>
        <w:fldChar w:fldCharType="separate"/>
      </w:r>
      <w:r>
        <w:t>4</w:t>
      </w:r>
      <w:r>
        <w:fldChar w:fldCharType="end"/>
      </w:r>
    </w:p>
    <w:p w14:paraId="38F1329C" w14:textId="77777777" w:rsidR="00666093" w:rsidRDefault="00666093">
      <w:pPr>
        <w:pStyle w:val="TOC1"/>
        <w:rPr>
          <w:rFonts w:asciiTheme="minorHAnsi" w:eastAsiaTheme="minorEastAsia" w:hAnsiTheme="minorHAnsi" w:cstheme="minorBidi"/>
          <w:b w:val="0"/>
          <w:sz w:val="24"/>
          <w:szCs w:val="24"/>
          <w:lang w:eastAsia="ja-JP"/>
        </w:rPr>
      </w:pPr>
      <w:r>
        <w:t xml:space="preserve">What Is Being Enforced? What is Being Amended? </w:t>
      </w:r>
      <w:r>
        <w:fldChar w:fldCharType="begin"/>
      </w:r>
      <w:r>
        <w:instrText xml:space="preserve"> PAGEREF _Toc288819808 \h </w:instrText>
      </w:r>
      <w:r>
        <w:fldChar w:fldCharType="separate"/>
      </w:r>
      <w:r>
        <w:t>4</w:t>
      </w:r>
      <w:r>
        <w:fldChar w:fldCharType="end"/>
      </w:r>
    </w:p>
    <w:p w14:paraId="182F5EE5" w14:textId="77777777" w:rsidR="00666093" w:rsidRDefault="00666093">
      <w:pPr>
        <w:pStyle w:val="TOC2"/>
        <w:rPr>
          <w:rFonts w:asciiTheme="minorHAnsi" w:eastAsiaTheme="minorEastAsia" w:hAnsiTheme="minorHAnsi" w:cstheme="minorBidi"/>
          <w:sz w:val="24"/>
          <w:lang w:eastAsia="ja-JP"/>
        </w:rPr>
      </w:pPr>
      <w:r>
        <w:t xml:space="preserve">Enforcement </w:t>
      </w:r>
      <w:r>
        <w:fldChar w:fldCharType="begin"/>
      </w:r>
      <w:r>
        <w:instrText xml:space="preserve"> PAGEREF _Toc288819809 \h </w:instrText>
      </w:r>
      <w:r>
        <w:fldChar w:fldCharType="separate"/>
      </w:r>
      <w:r>
        <w:t>4</w:t>
      </w:r>
      <w:r>
        <w:fldChar w:fldCharType="end"/>
      </w:r>
    </w:p>
    <w:p w14:paraId="6C5830F5" w14:textId="77777777" w:rsidR="00666093" w:rsidRDefault="00666093">
      <w:pPr>
        <w:pStyle w:val="TOC2"/>
        <w:rPr>
          <w:rFonts w:asciiTheme="minorHAnsi" w:eastAsiaTheme="minorEastAsia" w:hAnsiTheme="minorHAnsi" w:cstheme="minorBidi"/>
          <w:sz w:val="24"/>
          <w:lang w:eastAsia="ja-JP"/>
        </w:rPr>
      </w:pPr>
      <w:r>
        <w:t xml:space="preserve">Differentiating Amendments That Do or Do Not Raise Enforcement Issues </w:t>
      </w:r>
      <w:r>
        <w:fldChar w:fldCharType="begin"/>
      </w:r>
      <w:r>
        <w:instrText xml:space="preserve"> PAGEREF _Toc288819810 \h </w:instrText>
      </w:r>
      <w:r>
        <w:fldChar w:fldCharType="separate"/>
      </w:r>
      <w:r>
        <w:t>5</w:t>
      </w:r>
      <w:r>
        <w:fldChar w:fldCharType="end"/>
      </w:r>
    </w:p>
    <w:p w14:paraId="0E5B28EF" w14:textId="77777777" w:rsidR="00666093" w:rsidRDefault="00666093">
      <w:pPr>
        <w:pStyle w:val="TOC1"/>
        <w:rPr>
          <w:rFonts w:asciiTheme="minorHAnsi" w:eastAsiaTheme="minorEastAsia" w:hAnsiTheme="minorHAnsi" w:cstheme="minorBidi"/>
          <w:b w:val="0"/>
          <w:sz w:val="24"/>
          <w:szCs w:val="24"/>
          <w:lang w:eastAsia="ja-JP"/>
        </w:rPr>
      </w:pPr>
      <w:r>
        <w:t xml:space="preserve">Responsibilities for Amendment Decisions </w:t>
      </w:r>
      <w:r>
        <w:fldChar w:fldCharType="begin"/>
      </w:r>
      <w:r>
        <w:instrText xml:space="preserve"> PAGEREF _Toc288819811 \h </w:instrText>
      </w:r>
      <w:r>
        <w:fldChar w:fldCharType="separate"/>
      </w:r>
      <w:r>
        <w:t>6</w:t>
      </w:r>
      <w:r>
        <w:fldChar w:fldCharType="end"/>
      </w:r>
    </w:p>
    <w:p w14:paraId="5A3E0B1A" w14:textId="77777777" w:rsidR="00666093" w:rsidRDefault="00666093">
      <w:pPr>
        <w:pStyle w:val="TOC2"/>
        <w:rPr>
          <w:rFonts w:asciiTheme="minorHAnsi" w:eastAsiaTheme="minorEastAsia" w:hAnsiTheme="minorHAnsi" w:cstheme="minorBidi"/>
          <w:sz w:val="24"/>
          <w:lang w:eastAsia="ja-JP"/>
        </w:rPr>
      </w:pPr>
      <w:r>
        <w:t xml:space="preserve">Duty to Manage Charitable Assets Responsibly </w:t>
      </w:r>
      <w:r>
        <w:fldChar w:fldCharType="begin"/>
      </w:r>
      <w:r>
        <w:instrText xml:space="preserve"> PAGEREF _Toc288819812 \h </w:instrText>
      </w:r>
      <w:r>
        <w:fldChar w:fldCharType="separate"/>
      </w:r>
      <w:r>
        <w:t>6</w:t>
      </w:r>
      <w:r>
        <w:fldChar w:fldCharType="end"/>
      </w:r>
    </w:p>
    <w:p w14:paraId="193CB9B7" w14:textId="77777777" w:rsidR="00666093" w:rsidRDefault="00666093">
      <w:pPr>
        <w:pStyle w:val="TOC2"/>
        <w:rPr>
          <w:rFonts w:asciiTheme="minorHAnsi" w:eastAsiaTheme="minorEastAsia" w:hAnsiTheme="minorHAnsi" w:cstheme="minorBidi"/>
          <w:sz w:val="24"/>
          <w:lang w:eastAsia="ja-JP"/>
        </w:rPr>
      </w:pPr>
      <w:r>
        <w:t xml:space="preserve">Board Generally Must Approve </w:t>
      </w:r>
      <w:r>
        <w:fldChar w:fldCharType="begin"/>
      </w:r>
      <w:r>
        <w:instrText xml:space="preserve"> PAGEREF _Toc288819813 \h </w:instrText>
      </w:r>
      <w:r>
        <w:fldChar w:fldCharType="separate"/>
      </w:r>
      <w:r>
        <w:t>7</w:t>
      </w:r>
      <w:r>
        <w:fldChar w:fldCharType="end"/>
      </w:r>
    </w:p>
    <w:p w14:paraId="49AD7014" w14:textId="77777777" w:rsidR="00666093" w:rsidRDefault="00666093">
      <w:pPr>
        <w:pStyle w:val="TOC2"/>
        <w:rPr>
          <w:rFonts w:asciiTheme="minorHAnsi" w:eastAsiaTheme="minorEastAsia" w:hAnsiTheme="minorHAnsi" w:cstheme="minorBidi"/>
          <w:sz w:val="24"/>
          <w:lang w:eastAsia="ja-JP"/>
        </w:rPr>
      </w:pPr>
      <w:r>
        <w:t xml:space="preserve">Fiduciary Duty of Directors to Make a Business Judgment in Good Faith </w:t>
      </w:r>
      <w:r>
        <w:fldChar w:fldCharType="begin"/>
      </w:r>
      <w:r>
        <w:instrText xml:space="preserve"> PAGEREF _Toc288819814 \h </w:instrText>
      </w:r>
      <w:r>
        <w:fldChar w:fldCharType="separate"/>
      </w:r>
      <w:r>
        <w:t>7</w:t>
      </w:r>
      <w:r>
        <w:fldChar w:fldCharType="end"/>
      </w:r>
    </w:p>
    <w:p w14:paraId="1DB19DDD" w14:textId="77777777" w:rsidR="00666093" w:rsidRDefault="00666093">
      <w:pPr>
        <w:pStyle w:val="TOC1"/>
        <w:rPr>
          <w:rFonts w:asciiTheme="minorHAnsi" w:eastAsiaTheme="minorEastAsia" w:hAnsiTheme="minorHAnsi" w:cstheme="minorBidi"/>
          <w:b w:val="0"/>
          <w:sz w:val="24"/>
          <w:szCs w:val="24"/>
          <w:lang w:eastAsia="ja-JP"/>
        </w:rPr>
      </w:pPr>
      <w:r>
        <w:t xml:space="preserve">Risks to Holder’s Status as a Qualified Organization under IRC Charitable Gift Rules </w:t>
      </w:r>
      <w:r>
        <w:fldChar w:fldCharType="begin"/>
      </w:r>
      <w:r>
        <w:instrText xml:space="preserve"> PAGEREF _Toc288819815 \h </w:instrText>
      </w:r>
      <w:r>
        <w:fldChar w:fldCharType="separate"/>
      </w:r>
      <w:r>
        <w:t>8</w:t>
      </w:r>
      <w:r>
        <w:fldChar w:fldCharType="end"/>
      </w:r>
    </w:p>
    <w:p w14:paraId="4201DEA8" w14:textId="77777777" w:rsidR="00666093" w:rsidRDefault="00666093">
      <w:pPr>
        <w:pStyle w:val="TOC2"/>
        <w:rPr>
          <w:rFonts w:asciiTheme="minorHAnsi" w:eastAsiaTheme="minorEastAsia" w:hAnsiTheme="minorHAnsi" w:cstheme="minorBidi"/>
          <w:sz w:val="24"/>
          <w:lang w:eastAsia="ja-JP"/>
        </w:rPr>
      </w:pPr>
      <w:r>
        <w:t xml:space="preserve">Commitment to Protect </w:t>
      </w:r>
      <w:r>
        <w:fldChar w:fldCharType="begin"/>
      </w:r>
      <w:r>
        <w:instrText xml:space="preserve"> PAGEREF _Toc288819816 \h </w:instrText>
      </w:r>
      <w:r>
        <w:fldChar w:fldCharType="separate"/>
      </w:r>
      <w:r>
        <w:t>8</w:t>
      </w:r>
      <w:r>
        <w:fldChar w:fldCharType="end"/>
      </w:r>
    </w:p>
    <w:p w14:paraId="5CC7B5C9" w14:textId="77777777" w:rsidR="00666093" w:rsidRDefault="00666093">
      <w:pPr>
        <w:pStyle w:val="TOC2"/>
        <w:rPr>
          <w:rFonts w:asciiTheme="minorHAnsi" w:eastAsiaTheme="minorEastAsia" w:hAnsiTheme="minorHAnsi" w:cstheme="minorBidi"/>
          <w:sz w:val="24"/>
          <w:lang w:eastAsia="ja-JP"/>
        </w:rPr>
      </w:pPr>
      <w:r>
        <w:t xml:space="preserve">Resources to Enforce </w:t>
      </w:r>
      <w:r>
        <w:fldChar w:fldCharType="begin"/>
      </w:r>
      <w:r>
        <w:instrText xml:space="preserve"> PAGEREF _Toc288819817 \h </w:instrText>
      </w:r>
      <w:r>
        <w:fldChar w:fldCharType="separate"/>
      </w:r>
      <w:r>
        <w:t>9</w:t>
      </w:r>
      <w:r>
        <w:fldChar w:fldCharType="end"/>
      </w:r>
    </w:p>
    <w:p w14:paraId="7495C94A" w14:textId="77777777" w:rsidR="00666093" w:rsidRDefault="00666093">
      <w:pPr>
        <w:pStyle w:val="TOC1"/>
        <w:rPr>
          <w:rFonts w:asciiTheme="minorHAnsi" w:eastAsiaTheme="minorEastAsia" w:hAnsiTheme="minorHAnsi" w:cstheme="minorBidi"/>
          <w:b w:val="0"/>
          <w:sz w:val="24"/>
          <w:szCs w:val="24"/>
          <w:lang w:eastAsia="ja-JP"/>
        </w:rPr>
      </w:pPr>
      <w:r>
        <w:t xml:space="preserve">Risks to Holder’s Status as a Tax Exempt Charity under IRC Charitable Exemption Rules </w:t>
      </w:r>
      <w:r>
        <w:fldChar w:fldCharType="begin"/>
      </w:r>
      <w:r>
        <w:instrText xml:space="preserve"> PAGEREF _Toc288819818 \h </w:instrText>
      </w:r>
      <w:r>
        <w:fldChar w:fldCharType="separate"/>
      </w:r>
      <w:r>
        <w:t>9</w:t>
      </w:r>
      <w:r>
        <w:fldChar w:fldCharType="end"/>
      </w:r>
    </w:p>
    <w:p w14:paraId="315823F4" w14:textId="77777777" w:rsidR="00666093" w:rsidRDefault="00666093">
      <w:pPr>
        <w:pStyle w:val="TOC2"/>
        <w:rPr>
          <w:rFonts w:asciiTheme="minorHAnsi" w:eastAsiaTheme="minorEastAsia" w:hAnsiTheme="minorHAnsi" w:cstheme="minorBidi"/>
          <w:sz w:val="24"/>
          <w:lang w:eastAsia="ja-JP"/>
        </w:rPr>
      </w:pPr>
      <w:r>
        <w:t xml:space="preserve">Private Inurement </w:t>
      </w:r>
      <w:r>
        <w:fldChar w:fldCharType="begin"/>
      </w:r>
      <w:r>
        <w:instrText xml:space="preserve"> PAGEREF _Toc288819819 \h </w:instrText>
      </w:r>
      <w:r>
        <w:fldChar w:fldCharType="separate"/>
      </w:r>
      <w:r>
        <w:t>10</w:t>
      </w:r>
      <w:r>
        <w:fldChar w:fldCharType="end"/>
      </w:r>
    </w:p>
    <w:p w14:paraId="1D681C16" w14:textId="77777777" w:rsidR="00666093" w:rsidRDefault="00666093">
      <w:pPr>
        <w:pStyle w:val="TOC2"/>
        <w:rPr>
          <w:rFonts w:asciiTheme="minorHAnsi" w:eastAsiaTheme="minorEastAsia" w:hAnsiTheme="minorHAnsi" w:cstheme="minorBidi"/>
          <w:sz w:val="24"/>
          <w:lang w:eastAsia="ja-JP"/>
        </w:rPr>
      </w:pPr>
      <w:r>
        <w:t xml:space="preserve">Private Benefit </w:t>
      </w:r>
      <w:r>
        <w:fldChar w:fldCharType="begin"/>
      </w:r>
      <w:r>
        <w:instrText xml:space="preserve"> PAGEREF _Toc288819820 \h </w:instrText>
      </w:r>
      <w:r>
        <w:fldChar w:fldCharType="separate"/>
      </w:r>
      <w:r>
        <w:t>11</w:t>
      </w:r>
      <w:r>
        <w:fldChar w:fldCharType="end"/>
      </w:r>
    </w:p>
    <w:p w14:paraId="3E0A46AB" w14:textId="77777777" w:rsidR="00666093" w:rsidRDefault="00666093">
      <w:pPr>
        <w:pStyle w:val="TOC2"/>
        <w:rPr>
          <w:rFonts w:asciiTheme="minorHAnsi" w:eastAsiaTheme="minorEastAsia" w:hAnsiTheme="minorHAnsi" w:cstheme="minorBidi"/>
          <w:sz w:val="24"/>
          <w:lang w:eastAsia="ja-JP"/>
        </w:rPr>
      </w:pPr>
      <w:r>
        <w:t xml:space="preserve">Application to Easement Amendments </w:t>
      </w:r>
      <w:r>
        <w:fldChar w:fldCharType="begin"/>
      </w:r>
      <w:r>
        <w:instrText xml:space="preserve"> PAGEREF _Toc288819821 \h </w:instrText>
      </w:r>
      <w:r>
        <w:fldChar w:fldCharType="separate"/>
      </w:r>
      <w:r>
        <w:t>12</w:t>
      </w:r>
      <w:r>
        <w:fldChar w:fldCharType="end"/>
      </w:r>
    </w:p>
    <w:p w14:paraId="2B45DD52" w14:textId="77777777" w:rsidR="00666093" w:rsidRDefault="00666093">
      <w:pPr>
        <w:pStyle w:val="TOC2"/>
        <w:rPr>
          <w:rFonts w:asciiTheme="minorHAnsi" w:eastAsiaTheme="minorEastAsia" w:hAnsiTheme="minorHAnsi" w:cstheme="minorBidi"/>
          <w:sz w:val="24"/>
          <w:lang w:eastAsia="ja-JP"/>
        </w:rPr>
      </w:pPr>
      <w:r>
        <w:t xml:space="preserve">Illustration of Application of Qualitative and Quantitative Tests </w:t>
      </w:r>
      <w:r>
        <w:fldChar w:fldCharType="begin"/>
      </w:r>
      <w:r>
        <w:instrText xml:space="preserve"> PAGEREF _Toc288819822 \h </w:instrText>
      </w:r>
      <w:r>
        <w:fldChar w:fldCharType="separate"/>
      </w:r>
      <w:r>
        <w:t>13</w:t>
      </w:r>
      <w:r>
        <w:fldChar w:fldCharType="end"/>
      </w:r>
    </w:p>
    <w:p w14:paraId="32486C68" w14:textId="77777777" w:rsidR="00666093" w:rsidRDefault="00666093">
      <w:pPr>
        <w:pStyle w:val="TOC1"/>
        <w:rPr>
          <w:rFonts w:asciiTheme="minorHAnsi" w:eastAsiaTheme="minorEastAsia" w:hAnsiTheme="minorHAnsi" w:cstheme="minorBidi"/>
          <w:b w:val="0"/>
          <w:sz w:val="24"/>
          <w:szCs w:val="24"/>
          <w:lang w:eastAsia="ja-JP"/>
        </w:rPr>
      </w:pPr>
      <w:r>
        <w:t xml:space="preserve">Quantitative Test Invalid as Applied to Easement Amendments? </w:t>
      </w:r>
      <w:r>
        <w:fldChar w:fldCharType="begin"/>
      </w:r>
      <w:r>
        <w:instrText xml:space="preserve"> PAGEREF _Toc288819823 \h </w:instrText>
      </w:r>
      <w:r>
        <w:fldChar w:fldCharType="separate"/>
      </w:r>
      <w:r>
        <w:t>14</w:t>
      </w:r>
      <w:r>
        <w:fldChar w:fldCharType="end"/>
      </w:r>
    </w:p>
    <w:p w14:paraId="1F738E8D" w14:textId="77777777" w:rsidR="00666093" w:rsidRDefault="00666093">
      <w:pPr>
        <w:pStyle w:val="TOC2"/>
        <w:rPr>
          <w:rFonts w:asciiTheme="minorHAnsi" w:eastAsiaTheme="minorEastAsia" w:hAnsiTheme="minorHAnsi" w:cstheme="minorBidi"/>
          <w:sz w:val="24"/>
          <w:lang w:eastAsia="ja-JP"/>
        </w:rPr>
      </w:pPr>
      <w:r>
        <w:t xml:space="preserve">Administrative Rule Must Be Consistent with Statute and Regulations </w:t>
      </w:r>
      <w:r>
        <w:fldChar w:fldCharType="begin"/>
      </w:r>
      <w:r>
        <w:instrText xml:space="preserve"> PAGEREF _Toc288819824 \h </w:instrText>
      </w:r>
      <w:r>
        <w:fldChar w:fldCharType="separate"/>
      </w:r>
      <w:r>
        <w:t>14</w:t>
      </w:r>
      <w:r>
        <w:fldChar w:fldCharType="end"/>
      </w:r>
    </w:p>
    <w:p w14:paraId="2F30769D" w14:textId="77777777" w:rsidR="00666093" w:rsidRDefault="00666093">
      <w:pPr>
        <w:pStyle w:val="TOC2"/>
        <w:rPr>
          <w:rFonts w:asciiTheme="minorHAnsi" w:eastAsiaTheme="minorEastAsia" w:hAnsiTheme="minorHAnsi" w:cstheme="minorBidi"/>
          <w:sz w:val="24"/>
          <w:lang w:eastAsia="ja-JP"/>
        </w:rPr>
      </w:pPr>
      <w:r>
        <w:t xml:space="preserve">Quantitative Test Disregards Public Benefit </w:t>
      </w:r>
      <w:r>
        <w:fldChar w:fldCharType="begin"/>
      </w:r>
      <w:r>
        <w:instrText xml:space="preserve"> PAGEREF _Toc288819825 \h </w:instrText>
      </w:r>
      <w:r>
        <w:fldChar w:fldCharType="separate"/>
      </w:r>
      <w:r>
        <w:t>14</w:t>
      </w:r>
      <w:r>
        <w:fldChar w:fldCharType="end"/>
      </w:r>
    </w:p>
    <w:p w14:paraId="71433222" w14:textId="77777777" w:rsidR="00666093" w:rsidRDefault="00666093">
      <w:pPr>
        <w:pStyle w:val="TOC2"/>
        <w:rPr>
          <w:rFonts w:asciiTheme="minorHAnsi" w:eastAsiaTheme="minorEastAsia" w:hAnsiTheme="minorHAnsi" w:cstheme="minorBidi"/>
          <w:sz w:val="24"/>
          <w:lang w:eastAsia="ja-JP"/>
        </w:rPr>
      </w:pPr>
      <w:r>
        <w:t xml:space="preserve">Before-and-After Valuation Inappropriate for Purposes of Weighing Public vs. Private Benefit </w:t>
      </w:r>
      <w:r>
        <w:fldChar w:fldCharType="begin"/>
      </w:r>
      <w:r>
        <w:instrText xml:space="preserve"> PAGEREF _Toc288819826 \h </w:instrText>
      </w:r>
      <w:r>
        <w:fldChar w:fldCharType="separate"/>
      </w:r>
      <w:r>
        <w:t>15</w:t>
      </w:r>
      <w:r>
        <w:fldChar w:fldCharType="end"/>
      </w:r>
    </w:p>
    <w:p w14:paraId="39E73F08" w14:textId="77777777" w:rsidR="00666093" w:rsidRDefault="00666093">
      <w:pPr>
        <w:pStyle w:val="TOC2"/>
        <w:rPr>
          <w:rFonts w:asciiTheme="minorHAnsi" w:eastAsiaTheme="minorEastAsia" w:hAnsiTheme="minorHAnsi" w:cstheme="minorBidi"/>
          <w:sz w:val="24"/>
          <w:lang w:eastAsia="ja-JP"/>
        </w:rPr>
      </w:pPr>
      <w:r>
        <w:t xml:space="preserve">Consideration of Non-monetary Public Benefit is Required by IRC Charitable Exemption Rules </w:t>
      </w:r>
      <w:r>
        <w:fldChar w:fldCharType="begin"/>
      </w:r>
      <w:r>
        <w:instrText xml:space="preserve"> PAGEREF _Toc288819827 \h </w:instrText>
      </w:r>
      <w:r>
        <w:fldChar w:fldCharType="separate"/>
      </w:r>
      <w:r>
        <w:t>16</w:t>
      </w:r>
      <w:r>
        <w:fldChar w:fldCharType="end"/>
      </w:r>
    </w:p>
    <w:p w14:paraId="7769F955" w14:textId="77777777" w:rsidR="00666093" w:rsidRDefault="00666093">
      <w:pPr>
        <w:pStyle w:val="TOC1"/>
        <w:rPr>
          <w:rFonts w:asciiTheme="minorHAnsi" w:eastAsiaTheme="minorEastAsia" w:hAnsiTheme="minorHAnsi" w:cstheme="minorBidi"/>
          <w:b w:val="0"/>
          <w:sz w:val="24"/>
          <w:szCs w:val="24"/>
          <w:lang w:eastAsia="ja-JP"/>
        </w:rPr>
      </w:pPr>
      <w:r>
        <w:rPr>
          <w:lang w:eastAsia="ja-JP"/>
        </w:rPr>
        <w:lastRenderedPageBreak/>
        <w:t>Harmonize Quantitative Test with Other Avenues of Inquiry to Evaluate Permissible (or Impermissible) Private Benefit</w:t>
      </w:r>
      <w:r>
        <w:t xml:space="preserve"> </w:t>
      </w:r>
      <w:r>
        <w:fldChar w:fldCharType="begin"/>
      </w:r>
      <w:r>
        <w:instrText xml:space="preserve"> PAGEREF _Toc288819828 \h </w:instrText>
      </w:r>
      <w:r>
        <w:fldChar w:fldCharType="separate"/>
      </w:r>
      <w:r>
        <w:t>17</w:t>
      </w:r>
      <w:r>
        <w:fldChar w:fldCharType="end"/>
      </w:r>
    </w:p>
    <w:p w14:paraId="378F3381" w14:textId="77777777" w:rsidR="00666093" w:rsidRDefault="00666093">
      <w:pPr>
        <w:pStyle w:val="TOC2"/>
        <w:rPr>
          <w:rFonts w:asciiTheme="minorHAnsi" w:eastAsiaTheme="minorEastAsia" w:hAnsiTheme="minorHAnsi" w:cstheme="minorBidi"/>
          <w:sz w:val="24"/>
          <w:lang w:eastAsia="ja-JP"/>
        </w:rPr>
      </w:pPr>
      <w:r>
        <w:t xml:space="preserve">Apply Standard Applicable to Excess Benefit Transactions </w:t>
      </w:r>
      <w:r>
        <w:fldChar w:fldCharType="begin"/>
      </w:r>
      <w:r>
        <w:instrText xml:space="preserve"> PAGEREF _Toc288819829 \h </w:instrText>
      </w:r>
      <w:r>
        <w:fldChar w:fldCharType="separate"/>
      </w:r>
      <w:r>
        <w:t>17</w:t>
      </w:r>
      <w:r>
        <w:fldChar w:fldCharType="end"/>
      </w:r>
    </w:p>
    <w:p w14:paraId="0BB7BEFF" w14:textId="77777777" w:rsidR="00666093" w:rsidRDefault="00666093">
      <w:pPr>
        <w:pStyle w:val="TOC2"/>
        <w:rPr>
          <w:rFonts w:asciiTheme="minorHAnsi" w:eastAsiaTheme="minorEastAsia" w:hAnsiTheme="minorHAnsi" w:cstheme="minorBidi"/>
          <w:sz w:val="24"/>
          <w:lang w:eastAsia="ja-JP"/>
        </w:rPr>
      </w:pPr>
      <w:r>
        <w:t xml:space="preserve">Apply Standard Applicable to Private Inurement Inquiry </w:t>
      </w:r>
      <w:r>
        <w:fldChar w:fldCharType="begin"/>
      </w:r>
      <w:r>
        <w:instrText xml:space="preserve"> PAGEREF _Toc288819830 \h </w:instrText>
      </w:r>
      <w:r>
        <w:fldChar w:fldCharType="separate"/>
      </w:r>
      <w:r>
        <w:t>17</w:t>
      </w:r>
      <w:r>
        <w:fldChar w:fldCharType="end"/>
      </w:r>
    </w:p>
    <w:p w14:paraId="2326FC07" w14:textId="77777777" w:rsidR="00666093" w:rsidRDefault="00666093">
      <w:pPr>
        <w:pStyle w:val="TOC2"/>
        <w:rPr>
          <w:rFonts w:asciiTheme="minorHAnsi" w:eastAsiaTheme="minorEastAsia" w:hAnsiTheme="minorHAnsi" w:cstheme="minorBidi"/>
          <w:sz w:val="24"/>
          <w:lang w:eastAsia="ja-JP"/>
        </w:rPr>
      </w:pPr>
      <w:r>
        <w:t xml:space="preserve">Apply the Private Benefit Test so as to be Consistent with Governance Responsibilities of Directors </w:t>
      </w:r>
      <w:r>
        <w:fldChar w:fldCharType="begin"/>
      </w:r>
      <w:r>
        <w:instrText xml:space="preserve"> PAGEREF _Toc288819831 \h </w:instrText>
      </w:r>
      <w:r>
        <w:fldChar w:fldCharType="separate"/>
      </w:r>
      <w:r>
        <w:t>18</w:t>
      </w:r>
      <w:r>
        <w:fldChar w:fldCharType="end"/>
      </w:r>
    </w:p>
    <w:p w14:paraId="299F65A5" w14:textId="77777777" w:rsidR="00666093" w:rsidRDefault="00666093">
      <w:pPr>
        <w:pStyle w:val="TOC1"/>
        <w:rPr>
          <w:rFonts w:asciiTheme="minorHAnsi" w:eastAsiaTheme="minorEastAsia" w:hAnsiTheme="minorHAnsi" w:cstheme="minorBidi"/>
          <w:b w:val="0"/>
          <w:sz w:val="24"/>
          <w:szCs w:val="24"/>
          <w:lang w:eastAsia="ja-JP"/>
        </w:rPr>
      </w:pPr>
      <w:r>
        <w:t xml:space="preserve">Strategies to Minimize Risk of Adverse Consequences to Holder </w:t>
      </w:r>
      <w:r>
        <w:fldChar w:fldCharType="begin"/>
      </w:r>
      <w:r>
        <w:instrText xml:space="preserve"> PAGEREF _Toc288819832 \h </w:instrText>
      </w:r>
      <w:r>
        <w:fldChar w:fldCharType="separate"/>
      </w:r>
      <w:r>
        <w:t>18</w:t>
      </w:r>
      <w:r>
        <w:fldChar w:fldCharType="end"/>
      </w:r>
    </w:p>
    <w:p w14:paraId="630B4142" w14:textId="77777777" w:rsidR="00666093" w:rsidRDefault="00666093">
      <w:pPr>
        <w:pStyle w:val="TOC2"/>
        <w:rPr>
          <w:rFonts w:asciiTheme="minorHAnsi" w:eastAsiaTheme="minorEastAsia" w:hAnsiTheme="minorHAnsi" w:cstheme="minorBidi"/>
          <w:sz w:val="24"/>
          <w:lang w:eastAsia="ja-JP"/>
        </w:rPr>
      </w:pPr>
      <w:r>
        <w:t xml:space="preserve">Indemnity </w:t>
      </w:r>
      <w:r>
        <w:fldChar w:fldCharType="begin"/>
      </w:r>
      <w:r>
        <w:instrText xml:space="preserve"> PAGEREF _Toc288819833 \h </w:instrText>
      </w:r>
      <w:r>
        <w:fldChar w:fldCharType="separate"/>
      </w:r>
      <w:r>
        <w:t>18</w:t>
      </w:r>
      <w:r>
        <w:fldChar w:fldCharType="end"/>
      </w:r>
    </w:p>
    <w:p w14:paraId="41D36468" w14:textId="77777777" w:rsidR="00666093" w:rsidRDefault="00666093">
      <w:pPr>
        <w:pStyle w:val="TOC2"/>
        <w:rPr>
          <w:rFonts w:asciiTheme="minorHAnsi" w:eastAsiaTheme="minorEastAsia" w:hAnsiTheme="minorHAnsi" w:cstheme="minorBidi"/>
          <w:sz w:val="24"/>
          <w:lang w:eastAsia="ja-JP"/>
        </w:rPr>
      </w:pPr>
      <w:r>
        <w:t xml:space="preserve">Agreement to Unwind </w:t>
      </w:r>
      <w:r>
        <w:fldChar w:fldCharType="begin"/>
      </w:r>
      <w:r>
        <w:instrText xml:space="preserve"> PAGEREF _Toc288819834 \h </w:instrText>
      </w:r>
      <w:r>
        <w:fldChar w:fldCharType="separate"/>
      </w:r>
      <w:r>
        <w:t>18</w:t>
      </w:r>
      <w:r>
        <w:fldChar w:fldCharType="end"/>
      </w:r>
    </w:p>
    <w:p w14:paraId="65BFC50B" w14:textId="77777777" w:rsidR="00666093" w:rsidRDefault="00666093">
      <w:pPr>
        <w:pStyle w:val="TOC2"/>
        <w:rPr>
          <w:rFonts w:asciiTheme="minorHAnsi" w:eastAsiaTheme="minorEastAsia" w:hAnsiTheme="minorHAnsi" w:cstheme="minorBidi"/>
          <w:sz w:val="24"/>
          <w:lang w:eastAsia="ja-JP"/>
        </w:rPr>
      </w:pPr>
      <w:r>
        <w:t xml:space="preserve">Opinion of Tax Counsel </w:t>
      </w:r>
      <w:r>
        <w:fldChar w:fldCharType="begin"/>
      </w:r>
      <w:r>
        <w:instrText xml:space="preserve"> PAGEREF _Toc288819835 \h </w:instrText>
      </w:r>
      <w:r>
        <w:fldChar w:fldCharType="separate"/>
      </w:r>
      <w:r>
        <w:t>19</w:t>
      </w:r>
      <w:r>
        <w:fldChar w:fldCharType="end"/>
      </w:r>
    </w:p>
    <w:p w14:paraId="08F719FB" w14:textId="77777777" w:rsidR="00666093" w:rsidRDefault="00666093">
      <w:pPr>
        <w:pStyle w:val="TOC2"/>
        <w:rPr>
          <w:rFonts w:asciiTheme="minorHAnsi" w:eastAsiaTheme="minorEastAsia" w:hAnsiTheme="minorHAnsi" w:cstheme="minorBidi"/>
          <w:sz w:val="24"/>
          <w:lang w:eastAsia="ja-JP"/>
        </w:rPr>
      </w:pPr>
      <w:r>
        <w:t xml:space="preserve">Letter Ruling </w:t>
      </w:r>
      <w:r>
        <w:fldChar w:fldCharType="begin"/>
      </w:r>
      <w:r>
        <w:instrText xml:space="preserve"> PAGEREF _Toc288819836 \h </w:instrText>
      </w:r>
      <w:r>
        <w:fldChar w:fldCharType="separate"/>
      </w:r>
      <w:r>
        <w:t>19</w:t>
      </w:r>
      <w:r>
        <w:fldChar w:fldCharType="end"/>
      </w:r>
    </w:p>
    <w:p w14:paraId="0AAC63A4" w14:textId="77777777" w:rsidR="00666093" w:rsidRDefault="00666093">
      <w:pPr>
        <w:pStyle w:val="TOC2"/>
        <w:rPr>
          <w:rFonts w:asciiTheme="minorHAnsi" w:eastAsiaTheme="minorEastAsia" w:hAnsiTheme="minorHAnsi" w:cstheme="minorBidi"/>
          <w:sz w:val="24"/>
          <w:lang w:eastAsia="ja-JP"/>
        </w:rPr>
      </w:pPr>
      <w:r>
        <w:t xml:space="preserve">Attorney General No-action Letter </w:t>
      </w:r>
      <w:r>
        <w:fldChar w:fldCharType="begin"/>
      </w:r>
      <w:r>
        <w:instrText xml:space="preserve"> PAGEREF _Toc288819837 \h </w:instrText>
      </w:r>
      <w:r>
        <w:fldChar w:fldCharType="separate"/>
      </w:r>
      <w:r>
        <w:t>19</w:t>
      </w:r>
      <w:r>
        <w:fldChar w:fldCharType="end"/>
      </w:r>
    </w:p>
    <w:p w14:paraId="12773990" w14:textId="77777777" w:rsidR="00666093" w:rsidRDefault="00666093">
      <w:pPr>
        <w:pStyle w:val="TOC1"/>
        <w:rPr>
          <w:rFonts w:asciiTheme="minorHAnsi" w:eastAsiaTheme="minorEastAsia" w:hAnsiTheme="minorHAnsi" w:cstheme="minorBidi"/>
          <w:b w:val="0"/>
          <w:sz w:val="24"/>
          <w:szCs w:val="24"/>
          <w:lang w:eastAsia="ja-JP"/>
        </w:rPr>
      </w:pPr>
      <w:r>
        <w:t xml:space="preserve">Resources at ConservationTools.org </w:t>
      </w:r>
      <w:r>
        <w:fldChar w:fldCharType="begin"/>
      </w:r>
      <w:r>
        <w:instrText xml:space="preserve"> PAGEREF _Toc288819838 \h </w:instrText>
      </w:r>
      <w:r>
        <w:fldChar w:fldCharType="separate"/>
      </w:r>
      <w:r>
        <w:t>19</w:t>
      </w:r>
      <w:r>
        <w:fldChar w:fldCharType="end"/>
      </w:r>
    </w:p>
    <w:p w14:paraId="7F92DEF8" w14:textId="28329E3C" w:rsidR="005907F8" w:rsidRPr="00213BDE" w:rsidRDefault="009F356F" w:rsidP="00121AA7">
      <w:pPr>
        <w:rPr>
          <w:sz w:val="8"/>
          <w:szCs w:val="8"/>
        </w:rPr>
      </w:pPr>
      <w:r>
        <w:rPr>
          <w:b/>
          <w:noProof/>
          <w:sz w:val="24"/>
        </w:rPr>
        <w:fldChar w:fldCharType="end"/>
      </w:r>
    </w:p>
    <w:p w14:paraId="57E29276" w14:textId="77777777" w:rsidR="00C2281E" w:rsidRDefault="00C2281E" w:rsidP="00C2281E">
      <w:pPr>
        <w:pStyle w:val="Heading1"/>
      </w:pPr>
      <w:bookmarkStart w:id="1" w:name="_Toc275788811"/>
      <w:bookmarkStart w:id="2" w:name="_Toc230921626"/>
      <w:bookmarkStart w:id="3" w:name="_Toc183232376"/>
      <w:bookmarkStart w:id="4" w:name="_Toc242062760"/>
      <w:bookmarkStart w:id="5" w:name="_Toc368240515"/>
      <w:bookmarkStart w:id="6" w:name="_Toc366775454"/>
      <w:bookmarkStart w:id="7" w:name="_Toc241996349"/>
      <w:bookmarkStart w:id="8" w:name="_Toc241996400"/>
      <w:bookmarkStart w:id="9" w:name="_Toc241539817"/>
      <w:bookmarkStart w:id="10" w:name="_Toc288819800"/>
      <w:r>
        <w:t>Content and Relationship to Other Guidance</w:t>
      </w:r>
      <w:bookmarkEnd w:id="1"/>
      <w:bookmarkEnd w:id="10"/>
    </w:p>
    <w:p w14:paraId="2A19A9C0" w14:textId="5EA42F10" w:rsidR="00C2281E" w:rsidRPr="00927D07" w:rsidRDefault="00C2281E" w:rsidP="00C2281E">
      <w:pPr>
        <w:pStyle w:val="BodyText"/>
        <w:rPr>
          <w:bCs/>
        </w:rPr>
      </w:pPr>
      <w:r w:rsidRPr="007C1651">
        <w:t xml:space="preserve">This guide informs easement </w:t>
      </w:r>
      <w:r w:rsidR="00A8411C">
        <w:t>holder</w:t>
      </w:r>
      <w:r w:rsidRPr="007C1651">
        <w:t>s of legal matters to consider regarding</w:t>
      </w:r>
      <w:r w:rsidRPr="00AE3FC3">
        <w:rPr>
          <w:bCs/>
        </w:rPr>
        <w:t xml:space="preserve"> the amendment of </w:t>
      </w:r>
      <w:r>
        <w:rPr>
          <w:bCs/>
        </w:rPr>
        <w:t xml:space="preserve">grants of </w:t>
      </w:r>
      <w:r w:rsidRPr="00AE3FC3">
        <w:rPr>
          <w:bCs/>
        </w:rPr>
        <w:t>conservatio</w:t>
      </w:r>
      <w:bookmarkStart w:id="11" w:name="_GoBack"/>
      <w:bookmarkEnd w:id="11"/>
      <w:r w:rsidRPr="00AE3FC3">
        <w:rPr>
          <w:bCs/>
        </w:rPr>
        <w:t>n easement.</w:t>
      </w:r>
      <w:r>
        <w:rPr>
          <w:bCs/>
        </w:rPr>
        <w:t xml:space="preserve"> It </w:t>
      </w:r>
      <w:r w:rsidRPr="00AE3FC3">
        <w:rPr>
          <w:bCs/>
        </w:rPr>
        <w:t>examine</w:t>
      </w:r>
      <w:r>
        <w:rPr>
          <w:bCs/>
        </w:rPr>
        <w:t>s</w:t>
      </w:r>
      <w:r w:rsidRPr="00AE3FC3">
        <w:rPr>
          <w:bCs/>
        </w:rPr>
        <w:t xml:space="preserve"> Pennsylvania law</w:t>
      </w:r>
      <w:r>
        <w:rPr>
          <w:bCs/>
        </w:rPr>
        <w:t>, including the Conservation and Preservation Eas</w:t>
      </w:r>
      <w:r>
        <w:rPr>
          <w:bCs/>
        </w:rPr>
        <w:t>e</w:t>
      </w:r>
      <w:r>
        <w:rPr>
          <w:bCs/>
        </w:rPr>
        <w:t xml:space="preserve">ments Act (the </w:t>
      </w:r>
      <w:r w:rsidR="007C1651">
        <w:rPr>
          <w:bCs/>
        </w:rPr>
        <w:t>“</w:t>
      </w:r>
      <w:r>
        <w:rPr>
          <w:bCs/>
        </w:rPr>
        <w:t>CPEA</w:t>
      </w:r>
      <w:r w:rsidR="007C1651">
        <w:rPr>
          <w:bCs/>
        </w:rPr>
        <w:t>”</w:t>
      </w:r>
      <w:r>
        <w:rPr>
          <w:bCs/>
        </w:rPr>
        <w:t>),</w:t>
      </w:r>
      <w:r>
        <w:rPr>
          <w:rStyle w:val="FootnoteReference"/>
          <w:bCs/>
        </w:rPr>
        <w:footnoteReference w:id="1"/>
      </w:r>
      <w:r w:rsidRPr="00AE3FC3">
        <w:rPr>
          <w:bCs/>
        </w:rPr>
        <w:t xml:space="preserve"> and </w:t>
      </w:r>
      <w:r>
        <w:rPr>
          <w:bCs/>
        </w:rPr>
        <w:t>the Internal Revenue Code</w:t>
      </w:r>
      <w:r w:rsidR="0056112C">
        <w:rPr>
          <w:bCs/>
        </w:rPr>
        <w:t xml:space="preserve"> (the “IRC”)</w:t>
      </w:r>
      <w:r>
        <w:rPr>
          <w:bCs/>
        </w:rPr>
        <w:t>, specifically the charitable exem</w:t>
      </w:r>
      <w:r>
        <w:rPr>
          <w:bCs/>
        </w:rPr>
        <w:t>p</w:t>
      </w:r>
      <w:r>
        <w:rPr>
          <w:bCs/>
        </w:rPr>
        <w:t>tion</w:t>
      </w:r>
      <w:r w:rsidRPr="00AE3FC3">
        <w:rPr>
          <w:bCs/>
          <w:vertAlign w:val="superscript"/>
        </w:rPr>
        <w:footnoteReference w:id="2"/>
      </w:r>
      <w:r>
        <w:rPr>
          <w:bCs/>
        </w:rPr>
        <w:t xml:space="preserve"> and charitable gift</w:t>
      </w:r>
      <w:r>
        <w:rPr>
          <w:rStyle w:val="FootnoteReference"/>
          <w:bCs/>
        </w:rPr>
        <w:footnoteReference w:id="3"/>
      </w:r>
      <w:r>
        <w:rPr>
          <w:bCs/>
        </w:rPr>
        <w:t xml:space="preserve"> rules administered by the </w:t>
      </w:r>
      <w:r>
        <w:rPr>
          <w:bCs/>
        </w:rPr>
        <w:lastRenderedPageBreak/>
        <w:t xml:space="preserve">Internal Revenue Service (the </w:t>
      </w:r>
      <w:r w:rsidR="007C1651">
        <w:rPr>
          <w:bCs/>
        </w:rPr>
        <w:t>“</w:t>
      </w:r>
      <w:r>
        <w:rPr>
          <w:bCs/>
        </w:rPr>
        <w:t>Service</w:t>
      </w:r>
      <w:r w:rsidR="007C1651">
        <w:rPr>
          <w:bCs/>
        </w:rPr>
        <w:t>”</w:t>
      </w:r>
      <w:r>
        <w:rPr>
          <w:bCs/>
        </w:rPr>
        <w:t>). The</w:t>
      </w:r>
      <w:r w:rsidRPr="00A455D6">
        <w:rPr>
          <w:bCs/>
        </w:rPr>
        <w:t xml:space="preserve"> guide </w:t>
      </w:r>
      <w:hyperlink r:id="rId9" w:history="1">
        <w:r w:rsidRPr="001A44B3">
          <w:rPr>
            <w:rStyle w:val="Hyperlink"/>
            <w:bCs/>
            <w:i/>
          </w:rPr>
          <w:t>The Nature of the Conservation Easement and the Doc</w:t>
        </w:r>
        <w:r w:rsidRPr="001A44B3">
          <w:rPr>
            <w:rStyle w:val="Hyperlink"/>
            <w:bCs/>
            <w:i/>
          </w:rPr>
          <w:t>u</w:t>
        </w:r>
        <w:r w:rsidRPr="001A44B3">
          <w:rPr>
            <w:rStyle w:val="Hyperlink"/>
            <w:bCs/>
            <w:i/>
          </w:rPr>
          <w:t>ment Granting It</w:t>
        </w:r>
      </w:hyperlink>
      <w:r>
        <w:rPr>
          <w:rStyle w:val="FootnoteReference"/>
          <w:bCs/>
          <w:i/>
        </w:rPr>
        <w:footnoteReference w:id="4"/>
      </w:r>
      <w:r>
        <w:rPr>
          <w:bCs/>
          <w:i/>
        </w:rPr>
        <w:t xml:space="preserve"> </w:t>
      </w:r>
      <w:r>
        <w:rPr>
          <w:bCs/>
        </w:rPr>
        <w:t>addresses basic concepts critical to an understanding of this guide and the terms contained within.</w:t>
      </w:r>
      <w:r w:rsidRPr="00A455D6">
        <w:rPr>
          <w:bCs/>
          <w:vertAlign w:val="superscript"/>
        </w:rPr>
        <w:footnoteReference w:id="5"/>
      </w:r>
      <w:r>
        <w:rPr>
          <w:bCs/>
        </w:rPr>
        <w:t xml:space="preserve"> Together, these guides</w:t>
      </w:r>
      <w:r w:rsidRPr="00A455D6">
        <w:rPr>
          <w:bCs/>
        </w:rPr>
        <w:t xml:space="preserve"> provide the legal basis for the </w:t>
      </w:r>
      <w:r>
        <w:rPr>
          <w:bCs/>
        </w:rPr>
        <w:t>provisions set forth in the</w:t>
      </w:r>
      <w:r w:rsidRPr="00A455D6">
        <w:rPr>
          <w:bCs/>
        </w:rPr>
        <w:t xml:space="preserve"> </w:t>
      </w:r>
      <w:hyperlink r:id="rId10" w:history="1">
        <w:r w:rsidRPr="00704FC1">
          <w:rPr>
            <w:rStyle w:val="Hyperlink"/>
            <w:bCs/>
            <w:i/>
          </w:rPr>
          <w:t>Model Conservation Easement Amendment Policy</w:t>
        </w:r>
      </w:hyperlink>
      <w:r w:rsidRPr="00A455D6">
        <w:rPr>
          <w:bCs/>
        </w:rPr>
        <w:t>.</w:t>
      </w:r>
      <w:r w:rsidR="00AD330E">
        <w:rPr>
          <w:rStyle w:val="FootnoteReference"/>
          <w:bCs/>
        </w:rPr>
        <w:footnoteReference w:id="6"/>
      </w:r>
    </w:p>
    <w:p w14:paraId="681D9757" w14:textId="35C7DA4D" w:rsidR="00C2281E" w:rsidRDefault="00213E46" w:rsidP="00C2281E">
      <w:pPr>
        <w:pStyle w:val="Heading1"/>
      </w:pPr>
      <w:bookmarkStart w:id="12" w:name="_Toc275788812"/>
      <w:bookmarkStart w:id="13" w:name="_Toc288819801"/>
      <w:r>
        <w:t>Basic</w:t>
      </w:r>
      <w:r w:rsidR="00C2281E">
        <w:t xml:space="preserve"> Constraints on Amendment</w:t>
      </w:r>
      <w:bookmarkEnd w:id="12"/>
      <w:bookmarkEnd w:id="13"/>
    </w:p>
    <w:p w14:paraId="5243E388" w14:textId="77777777" w:rsidR="00C2281E" w:rsidRPr="00ED5204" w:rsidRDefault="00C2281E" w:rsidP="00C2281E">
      <w:pPr>
        <w:pStyle w:val="BodyText"/>
      </w:pPr>
      <w:r w:rsidRPr="00ED5204">
        <w:t xml:space="preserve">An inquiry into </w:t>
      </w:r>
      <w:r>
        <w:t xml:space="preserve">legal considerations begins with </w:t>
      </w:r>
      <w:r w:rsidRPr="00ED5204">
        <w:t>basic questions:</w:t>
      </w:r>
    </w:p>
    <w:p w14:paraId="117CCD13" w14:textId="4999E7A5" w:rsidR="00C2281E" w:rsidRPr="008670C8" w:rsidRDefault="00C2281E" w:rsidP="00C2281E">
      <w:pPr>
        <w:pStyle w:val="BodyBullet"/>
      </w:pPr>
      <w:r>
        <w:rPr>
          <w:i/>
        </w:rPr>
        <w:t xml:space="preserve"> </w:t>
      </w:r>
      <w:r w:rsidRPr="008670C8">
        <w:rPr>
          <w:i/>
        </w:rPr>
        <w:t>Freedom to amend.</w:t>
      </w:r>
      <w:r w:rsidRPr="008670C8">
        <w:t xml:space="preserve"> May Pennsylvania landowners and </w:t>
      </w:r>
      <w:r>
        <w:t xml:space="preserve">easement </w:t>
      </w:r>
      <w:r w:rsidR="00A8411C">
        <w:t>holder</w:t>
      </w:r>
      <w:r w:rsidRPr="008670C8">
        <w:t>s</w:t>
      </w:r>
      <w:r w:rsidRPr="009C111F">
        <w:rPr>
          <w:rStyle w:val="FootnoteReference"/>
        </w:rPr>
        <w:footnoteReference w:id="7"/>
      </w:r>
      <w:r w:rsidRPr="008670C8">
        <w:t xml:space="preserve"> change the legal doc</w:t>
      </w:r>
      <w:r w:rsidRPr="008670C8">
        <w:t>u</w:t>
      </w:r>
      <w:r w:rsidRPr="008670C8">
        <w:t>ment</w:t>
      </w:r>
      <w:r w:rsidRPr="009C111F">
        <w:rPr>
          <w:rStyle w:val="FootnoteReference"/>
        </w:rPr>
        <w:footnoteReference w:id="8"/>
      </w:r>
      <w:r w:rsidRPr="008670C8">
        <w:t xml:space="preserve"> by which they, or their land ownership interests, are bound? </w:t>
      </w:r>
    </w:p>
    <w:p w14:paraId="7BD3FE42" w14:textId="070A40E2" w:rsidR="00C2281E" w:rsidRPr="008670C8" w:rsidRDefault="00A8411C" w:rsidP="00C2281E">
      <w:pPr>
        <w:pStyle w:val="BodyBullet"/>
      </w:pPr>
      <w:r>
        <w:rPr>
          <w:i/>
        </w:rPr>
        <w:t>Holder</w:t>
      </w:r>
      <w:r w:rsidR="00C2281E" w:rsidRPr="008670C8">
        <w:rPr>
          <w:i/>
        </w:rPr>
        <w:t xml:space="preserve"> duties under the </w:t>
      </w:r>
      <w:r w:rsidR="00C2281E">
        <w:rPr>
          <w:i/>
        </w:rPr>
        <w:t>grant</w:t>
      </w:r>
      <w:r w:rsidR="00C2281E" w:rsidRPr="008670C8">
        <w:rPr>
          <w:i/>
        </w:rPr>
        <w:t>.</w:t>
      </w:r>
      <w:r w:rsidR="00C2281E" w:rsidRPr="008670C8">
        <w:t xml:space="preserve"> Is the freedom of </w:t>
      </w:r>
      <w:r>
        <w:t>holder</w:t>
      </w:r>
      <w:r w:rsidR="00C2281E" w:rsidRPr="008670C8">
        <w:t xml:space="preserve"> to amend the </w:t>
      </w:r>
      <w:r w:rsidR="00C2281E">
        <w:t>grant</w:t>
      </w:r>
      <w:r w:rsidR="00C2281E" w:rsidRPr="008670C8">
        <w:t xml:space="preserve"> constrained by stan</w:t>
      </w:r>
      <w:r w:rsidR="00C2281E" w:rsidRPr="008670C8">
        <w:t>d</w:t>
      </w:r>
      <w:r w:rsidR="00C2281E" w:rsidRPr="008670C8">
        <w:t xml:space="preserve">ards contained within the </w:t>
      </w:r>
      <w:r w:rsidR="00C2281E">
        <w:t>grant</w:t>
      </w:r>
      <w:r w:rsidR="00C2281E" w:rsidRPr="008670C8">
        <w:t xml:space="preserve"> and, if so, who has the power to enforce applicable standards safeguarding enforceability of the easement in perpetuity?</w:t>
      </w:r>
    </w:p>
    <w:p w14:paraId="0ECE1833" w14:textId="3E417C88" w:rsidR="00C2281E" w:rsidRPr="008670C8" w:rsidRDefault="00C2281E" w:rsidP="00C2281E">
      <w:pPr>
        <w:pStyle w:val="BodyBullet"/>
      </w:pPr>
      <w:r>
        <w:rPr>
          <w:i/>
        </w:rPr>
        <w:t>Legal standards</w:t>
      </w:r>
      <w:r w:rsidRPr="008670C8">
        <w:rPr>
          <w:i/>
        </w:rPr>
        <w:t>.</w:t>
      </w:r>
      <w:r w:rsidRPr="008670C8">
        <w:t xml:space="preserve"> What other legal standards may be applicable to amendment decisions and what are the potential consequences to </w:t>
      </w:r>
      <w:r w:rsidR="00A8411C">
        <w:t>holder</w:t>
      </w:r>
      <w:r w:rsidRPr="008670C8">
        <w:t xml:space="preserve"> of failing to abide by these </w:t>
      </w:r>
      <w:r>
        <w:t>standards</w:t>
      </w:r>
      <w:r w:rsidRPr="008670C8">
        <w:t>?</w:t>
      </w:r>
    </w:p>
    <w:p w14:paraId="13831780" w14:textId="77777777" w:rsidR="00C2281E" w:rsidRPr="00C200B9" w:rsidRDefault="00C2281E" w:rsidP="00C2281E">
      <w:pPr>
        <w:pStyle w:val="Heading2"/>
      </w:pPr>
      <w:bookmarkStart w:id="14" w:name="_Toc275788813"/>
      <w:bookmarkStart w:id="15" w:name="_Toc288819802"/>
      <w:r>
        <w:t>Freedom to Amend</w:t>
      </w:r>
      <w:bookmarkEnd w:id="14"/>
      <w:bookmarkEnd w:id="15"/>
    </w:p>
    <w:p w14:paraId="27293B1B" w14:textId="77777777" w:rsidR="00C2281E" w:rsidRPr="00C200B9" w:rsidRDefault="00C2281E" w:rsidP="00C2281E">
      <w:pPr>
        <w:pStyle w:val="BodyText"/>
      </w:pPr>
      <w:r w:rsidRPr="00C200B9">
        <w:t>The terms of any recorded document affecting Pen</w:t>
      </w:r>
      <w:r w:rsidRPr="00C200B9">
        <w:t>n</w:t>
      </w:r>
      <w:r w:rsidRPr="00C200B9">
        <w:t>sylvania real estate may be changed by recordation of an amendment of such document signed by the pa</w:t>
      </w:r>
      <w:r w:rsidRPr="00C200B9">
        <w:t>r</w:t>
      </w:r>
      <w:r w:rsidRPr="00C200B9">
        <w:t xml:space="preserve">ties to the original document or their successors in interest. The text of the </w:t>
      </w:r>
      <w:r>
        <w:t>grant</w:t>
      </w:r>
      <w:r w:rsidRPr="00C200B9">
        <w:t xml:space="preserve"> may be changed the same as any other real estate document. </w:t>
      </w:r>
    </w:p>
    <w:p w14:paraId="73CD37B9" w14:textId="21967C6F" w:rsidR="00C2281E" w:rsidRPr="00C2281E" w:rsidRDefault="00C2281E" w:rsidP="00147DE0">
      <w:pPr>
        <w:pStyle w:val="BodyBullet"/>
        <w:rPr>
          <w:rStyle w:val="Strong"/>
          <w:b w:val="0"/>
        </w:rPr>
      </w:pPr>
      <w:r w:rsidRPr="00C2281E">
        <w:rPr>
          <w:rStyle w:val="Strong"/>
          <w:b w:val="0"/>
          <w:i/>
        </w:rPr>
        <w:t xml:space="preserve">Beneficiary may intervene. </w:t>
      </w:r>
      <w:r w:rsidRPr="00C2281E">
        <w:rPr>
          <w:rStyle w:val="Strong"/>
          <w:b w:val="0"/>
        </w:rPr>
        <w:t xml:space="preserve">A </w:t>
      </w:r>
      <w:r w:rsidR="00A8411C">
        <w:rPr>
          <w:rStyle w:val="Strong"/>
          <w:b w:val="0"/>
        </w:rPr>
        <w:t>holder</w:t>
      </w:r>
      <w:r w:rsidRPr="00C2281E">
        <w:rPr>
          <w:rStyle w:val="Strong"/>
          <w:b w:val="0"/>
        </w:rPr>
        <w:t xml:space="preserve"> of third-party enforcement rights</w:t>
      </w:r>
      <w:r w:rsidRPr="00C2281E">
        <w:rPr>
          <w:rStyle w:val="FootnoteReference"/>
          <w:b/>
          <w:bCs/>
        </w:rPr>
        <w:footnoteReference w:id="9"/>
      </w:r>
      <w:r w:rsidRPr="00C2281E">
        <w:rPr>
          <w:rStyle w:val="Strong"/>
          <w:b w:val="0"/>
        </w:rPr>
        <w:t xml:space="preserve"> (called in the Model Grant and this guide, a </w:t>
      </w:r>
      <w:r w:rsidR="007C1651">
        <w:rPr>
          <w:rStyle w:val="Strong"/>
          <w:b w:val="0"/>
        </w:rPr>
        <w:t>“</w:t>
      </w:r>
      <w:r w:rsidRPr="00C2281E">
        <w:rPr>
          <w:rStyle w:val="Strong"/>
          <w:b w:val="0"/>
        </w:rPr>
        <w:t>beneficiary</w:t>
      </w:r>
      <w:r w:rsidR="007C1651">
        <w:rPr>
          <w:rStyle w:val="Strong"/>
          <w:b w:val="0"/>
        </w:rPr>
        <w:t>”</w:t>
      </w:r>
      <w:r w:rsidRPr="00C2281E">
        <w:rPr>
          <w:rStyle w:val="FootnoteReference"/>
          <w:b/>
          <w:bCs/>
        </w:rPr>
        <w:footnoteReference w:id="10"/>
      </w:r>
      <w:r w:rsidRPr="00C2281E">
        <w:rPr>
          <w:rStyle w:val="Strong"/>
          <w:b w:val="0"/>
        </w:rPr>
        <w:t>) may seek to e</w:t>
      </w:r>
      <w:r w:rsidRPr="00C2281E">
        <w:rPr>
          <w:rStyle w:val="Strong"/>
          <w:b w:val="0"/>
        </w:rPr>
        <w:t>n</w:t>
      </w:r>
      <w:r w:rsidRPr="00C2281E">
        <w:rPr>
          <w:rStyle w:val="Strong"/>
          <w:b w:val="0"/>
        </w:rPr>
        <w:t>join or set aside an amendment entered into without such beneficiary</w:t>
      </w:r>
      <w:r w:rsidR="007C1651">
        <w:rPr>
          <w:rStyle w:val="Strong"/>
          <w:b w:val="0"/>
        </w:rPr>
        <w:t>’</w:t>
      </w:r>
      <w:r w:rsidRPr="00C2281E">
        <w:rPr>
          <w:rStyle w:val="Strong"/>
          <w:b w:val="0"/>
        </w:rPr>
        <w:t xml:space="preserve">s approval if the </w:t>
      </w:r>
      <w:r w:rsidR="007C1651">
        <w:rPr>
          <w:rStyle w:val="Strong"/>
          <w:b w:val="0"/>
        </w:rPr>
        <w:t xml:space="preserve">amendment </w:t>
      </w:r>
      <w:r w:rsidRPr="00C2281E">
        <w:rPr>
          <w:rStyle w:val="Strong"/>
          <w:b w:val="0"/>
        </w:rPr>
        <w:t>impairs the interest of beneficiary in the easement.</w:t>
      </w:r>
    </w:p>
    <w:p w14:paraId="22DFA7E6" w14:textId="4E1EB062" w:rsidR="00C2281E" w:rsidRPr="00C2281E" w:rsidRDefault="00C2281E" w:rsidP="007C1651">
      <w:pPr>
        <w:pStyle w:val="BodyBullet"/>
        <w:rPr>
          <w:rStyle w:val="Strong"/>
          <w:b w:val="0"/>
        </w:rPr>
      </w:pPr>
      <w:r w:rsidRPr="00C2281E">
        <w:rPr>
          <w:rStyle w:val="Strong"/>
          <w:b w:val="0"/>
          <w:i/>
        </w:rPr>
        <w:t xml:space="preserve">Original grantors may not intervene. </w:t>
      </w:r>
      <w:r w:rsidRPr="00C2281E">
        <w:rPr>
          <w:rStyle w:val="Strong"/>
          <w:b w:val="0"/>
        </w:rPr>
        <w:t>Individuals who granted the conservation easement but no longer own any of the eased property are not re</w:t>
      </w:r>
      <w:r w:rsidRPr="00C2281E">
        <w:rPr>
          <w:rStyle w:val="Strong"/>
          <w:b w:val="0"/>
        </w:rPr>
        <w:t>c</w:t>
      </w:r>
      <w:r w:rsidRPr="00C2281E">
        <w:rPr>
          <w:rStyle w:val="Strong"/>
          <w:b w:val="0"/>
        </w:rPr>
        <w:t xml:space="preserve">ognized as the </w:t>
      </w:r>
      <w:r w:rsidR="00A8411C">
        <w:rPr>
          <w:rStyle w:val="Strong"/>
          <w:b w:val="0"/>
        </w:rPr>
        <w:t>holder</w:t>
      </w:r>
      <w:r w:rsidRPr="00C2281E">
        <w:rPr>
          <w:rStyle w:val="Strong"/>
          <w:b w:val="0"/>
        </w:rPr>
        <w:t xml:space="preserve"> of a third-party right of enforcement with respect to the easement; and are not afforded access to Pennsylvania courts to i</w:t>
      </w:r>
      <w:r w:rsidRPr="00C2281E">
        <w:rPr>
          <w:rStyle w:val="Strong"/>
          <w:b w:val="0"/>
        </w:rPr>
        <w:t>n</w:t>
      </w:r>
      <w:r w:rsidRPr="00C2281E">
        <w:rPr>
          <w:rStyle w:val="Strong"/>
          <w:b w:val="0"/>
        </w:rPr>
        <w:t>tervene in any matter affecting the conservation easement.</w:t>
      </w:r>
      <w:r w:rsidRPr="00C2281E">
        <w:rPr>
          <w:rStyle w:val="FootnoteReference"/>
          <w:b/>
          <w:bCs/>
        </w:rPr>
        <w:footnoteReference w:id="11"/>
      </w:r>
      <w:r w:rsidRPr="00C2281E">
        <w:rPr>
          <w:rStyle w:val="Strong"/>
          <w:b w:val="0"/>
        </w:rPr>
        <w:t xml:space="preserve"> </w:t>
      </w:r>
    </w:p>
    <w:p w14:paraId="7938E769" w14:textId="58F5704A" w:rsidR="00C2281E" w:rsidRPr="00C200B9" w:rsidRDefault="00A8411C" w:rsidP="00C2281E">
      <w:pPr>
        <w:pStyle w:val="Heading2"/>
      </w:pPr>
      <w:bookmarkStart w:id="16" w:name="_Toc275788814"/>
      <w:bookmarkStart w:id="17" w:name="_Toc288819803"/>
      <w:r>
        <w:t>Holder</w:t>
      </w:r>
      <w:r w:rsidR="00C2281E">
        <w:t xml:space="preserve"> D</w:t>
      </w:r>
      <w:r w:rsidR="00C2281E" w:rsidRPr="00C200B9">
        <w:t xml:space="preserve">uties under </w:t>
      </w:r>
      <w:r w:rsidR="00C2281E">
        <w:t>the Grant</w:t>
      </w:r>
      <w:bookmarkEnd w:id="16"/>
      <w:bookmarkEnd w:id="17"/>
    </w:p>
    <w:p w14:paraId="1712A494" w14:textId="56E98B15" w:rsidR="00C2281E" w:rsidRPr="00C200B9" w:rsidRDefault="00C2281E" w:rsidP="00C2281E">
      <w:pPr>
        <w:pStyle w:val="BodyText"/>
      </w:pPr>
      <w:r w:rsidRPr="00C200B9">
        <w:t xml:space="preserve">The </w:t>
      </w:r>
      <w:r w:rsidR="00A8411C">
        <w:t>holder</w:t>
      </w:r>
      <w:r w:rsidRPr="00C200B9">
        <w:t xml:space="preserve"> of a conservation easement holds a prope</w:t>
      </w:r>
      <w:r w:rsidRPr="00C200B9">
        <w:t>r</w:t>
      </w:r>
      <w:r w:rsidRPr="00C200B9">
        <w:t xml:space="preserve">ty interest of perpetual duration in the land itself. The </w:t>
      </w:r>
      <w:r>
        <w:t>grant</w:t>
      </w:r>
      <w:r w:rsidRPr="00C200B9">
        <w:t xml:space="preserve"> operates not only to convey this interest to the </w:t>
      </w:r>
      <w:r w:rsidR="00A8411C">
        <w:t>holder</w:t>
      </w:r>
      <w:r w:rsidRPr="00C200B9">
        <w:t xml:space="preserve"> but also to establish certain covenants running with each of the concurrent interests held, respectiv</w:t>
      </w:r>
      <w:r w:rsidRPr="00C200B9">
        <w:t>e</w:t>
      </w:r>
      <w:r w:rsidRPr="00C200B9">
        <w:t xml:space="preserve">ly, by </w:t>
      </w:r>
      <w:r w:rsidR="00A8411C">
        <w:t>holder</w:t>
      </w:r>
      <w:r w:rsidRPr="00C200B9">
        <w:t xml:space="preserve"> and landowners. The covenants running with </w:t>
      </w:r>
      <w:r w:rsidR="00A8411C">
        <w:t>holder</w:t>
      </w:r>
      <w:r w:rsidR="007C1651">
        <w:t>’</w:t>
      </w:r>
      <w:r w:rsidRPr="00C200B9">
        <w:t xml:space="preserve">s interest in the land (the </w:t>
      </w:r>
      <w:r w:rsidR="007C1651">
        <w:t>“</w:t>
      </w:r>
      <w:r w:rsidR="00A8411C">
        <w:t>holder</w:t>
      </w:r>
      <w:r w:rsidRPr="00C200B9">
        <w:t xml:space="preserve"> cov</w:t>
      </w:r>
      <w:r w:rsidRPr="00C200B9">
        <w:t>e</w:t>
      </w:r>
      <w:r w:rsidRPr="00C200B9">
        <w:t>nants</w:t>
      </w:r>
      <w:r w:rsidR="007C1651">
        <w:t>”</w:t>
      </w:r>
      <w:r w:rsidRPr="00C200B9">
        <w:t>)</w:t>
      </w:r>
      <w:r>
        <w:t xml:space="preserve"> may </w:t>
      </w:r>
      <w:r w:rsidRPr="00C200B9">
        <w:t>safeguard the public interest in the long</w:t>
      </w:r>
      <w:r>
        <w:t>-</w:t>
      </w:r>
      <w:r w:rsidRPr="00C200B9">
        <w:t xml:space="preserve">term viability of conservation easements </w:t>
      </w:r>
      <w:r>
        <w:t>with incl</w:t>
      </w:r>
      <w:r>
        <w:t>u</w:t>
      </w:r>
      <w:r>
        <w:t>sion of</w:t>
      </w:r>
      <w:r w:rsidRPr="00C200B9">
        <w:t xml:space="preserve"> one or more of the following: </w:t>
      </w:r>
    </w:p>
    <w:p w14:paraId="414077F0" w14:textId="5726CB77" w:rsidR="00C2281E" w:rsidRPr="00147DE0" w:rsidRDefault="00C2281E" w:rsidP="00147DE0">
      <w:pPr>
        <w:pStyle w:val="BodyBullet"/>
        <w:rPr>
          <w:rStyle w:val="Strong"/>
          <w:b w:val="0"/>
        </w:rPr>
      </w:pPr>
      <w:r w:rsidRPr="00147DE0">
        <w:rPr>
          <w:rStyle w:val="Strong"/>
          <w:b w:val="0"/>
          <w:i/>
        </w:rPr>
        <w:t xml:space="preserve">Safeguard on transfer. </w:t>
      </w:r>
      <w:r w:rsidRPr="00147DE0">
        <w:rPr>
          <w:rStyle w:val="Strong"/>
          <w:b w:val="0"/>
        </w:rPr>
        <w:t xml:space="preserve">A covenant </w:t>
      </w:r>
      <w:proofErr w:type="gramStart"/>
      <w:r w:rsidRPr="00147DE0">
        <w:rPr>
          <w:rStyle w:val="Strong"/>
          <w:b w:val="0"/>
        </w:rPr>
        <w:t xml:space="preserve">not to transfer </w:t>
      </w:r>
      <w:r w:rsidR="00A8411C">
        <w:rPr>
          <w:rStyle w:val="Strong"/>
          <w:b w:val="0"/>
        </w:rPr>
        <w:t>holder</w:t>
      </w:r>
      <w:r w:rsidR="007C1651">
        <w:rPr>
          <w:rStyle w:val="Strong"/>
          <w:b w:val="0"/>
        </w:rPr>
        <w:t>’</w:t>
      </w:r>
      <w:r w:rsidRPr="00147DE0">
        <w:rPr>
          <w:rStyle w:val="Strong"/>
          <w:b w:val="0"/>
        </w:rPr>
        <w:t xml:space="preserve">s interest in the conservation easement to anyone not eligible to be a </w:t>
      </w:r>
      <w:r w:rsidR="00A8411C">
        <w:rPr>
          <w:rStyle w:val="Strong"/>
          <w:b w:val="0"/>
        </w:rPr>
        <w:t>holder</w:t>
      </w:r>
      <w:r w:rsidRPr="00147DE0">
        <w:rPr>
          <w:rStyle w:val="Strong"/>
          <w:b w:val="0"/>
        </w:rPr>
        <w:t xml:space="preserve"> under Pennsy</w:t>
      </w:r>
      <w:r w:rsidRPr="00147DE0">
        <w:rPr>
          <w:rStyle w:val="Strong"/>
          <w:b w:val="0"/>
        </w:rPr>
        <w:t>l</w:t>
      </w:r>
      <w:r w:rsidRPr="00147DE0">
        <w:rPr>
          <w:rStyle w:val="Strong"/>
          <w:b w:val="0"/>
        </w:rPr>
        <w:t>vania law and the charitable gifts rules under the IRC</w:t>
      </w:r>
      <w:proofErr w:type="gramEnd"/>
      <w:r w:rsidRPr="00147DE0">
        <w:rPr>
          <w:rStyle w:val="Strong"/>
          <w:b w:val="0"/>
        </w:rPr>
        <w:t>.</w:t>
      </w:r>
    </w:p>
    <w:p w14:paraId="6146188A" w14:textId="096C7B40" w:rsidR="00C2281E" w:rsidRPr="00147DE0" w:rsidRDefault="00C2281E" w:rsidP="00147DE0">
      <w:pPr>
        <w:pStyle w:val="BodyBullet"/>
        <w:rPr>
          <w:rStyle w:val="Strong"/>
          <w:b w:val="0"/>
        </w:rPr>
      </w:pPr>
      <w:r w:rsidRPr="00147DE0">
        <w:rPr>
          <w:rStyle w:val="Strong"/>
          <w:b w:val="0"/>
          <w:i/>
        </w:rPr>
        <w:t>Safeguard on extinguishment.</w:t>
      </w:r>
      <w:r w:rsidRPr="00147DE0">
        <w:rPr>
          <w:rStyle w:val="Strong"/>
          <w:b w:val="0"/>
        </w:rPr>
        <w:t xml:space="preserve"> A covenant to assure that </w:t>
      </w:r>
      <w:r w:rsidR="00A8411C">
        <w:rPr>
          <w:rStyle w:val="Strong"/>
          <w:b w:val="0"/>
        </w:rPr>
        <w:t>holder</w:t>
      </w:r>
      <w:r w:rsidRPr="00147DE0">
        <w:rPr>
          <w:rStyle w:val="Strong"/>
          <w:b w:val="0"/>
        </w:rPr>
        <w:t xml:space="preserve"> is entitled to proceeds of a condemn</w:t>
      </w:r>
      <w:r w:rsidRPr="00147DE0">
        <w:rPr>
          <w:rStyle w:val="Strong"/>
          <w:b w:val="0"/>
        </w:rPr>
        <w:t>a</w:t>
      </w:r>
      <w:r w:rsidRPr="00147DE0">
        <w:rPr>
          <w:rStyle w:val="Strong"/>
          <w:b w:val="0"/>
        </w:rPr>
        <w:t>tion or other extinguishment of the easement in an amount commensurate with the value of the easement and will invest those proceeds in fu</w:t>
      </w:r>
      <w:r w:rsidRPr="00147DE0">
        <w:rPr>
          <w:rStyle w:val="Strong"/>
          <w:b w:val="0"/>
        </w:rPr>
        <w:t>r</w:t>
      </w:r>
      <w:r w:rsidRPr="00147DE0">
        <w:rPr>
          <w:rStyle w:val="Strong"/>
          <w:b w:val="0"/>
        </w:rPr>
        <w:t>therance of its conservation purposes.</w:t>
      </w:r>
    </w:p>
    <w:p w14:paraId="5928449E" w14:textId="77777777" w:rsidR="00C2281E" w:rsidRPr="00147DE0" w:rsidRDefault="00C2281E" w:rsidP="00147DE0">
      <w:pPr>
        <w:pStyle w:val="BodyBullet"/>
        <w:rPr>
          <w:rStyle w:val="Strong"/>
          <w:b w:val="0"/>
        </w:rPr>
      </w:pPr>
      <w:r w:rsidRPr="00147DE0">
        <w:rPr>
          <w:rStyle w:val="Strong"/>
          <w:b w:val="0"/>
          <w:i/>
        </w:rPr>
        <w:t xml:space="preserve">Safeguard of conservation purposes. </w:t>
      </w:r>
      <w:r w:rsidRPr="00147DE0">
        <w:rPr>
          <w:rStyle w:val="Strong"/>
          <w:b w:val="0"/>
        </w:rPr>
        <w:t>A covenant to enforce the conservation easement in furtherance of its conservation purposes.</w:t>
      </w:r>
    </w:p>
    <w:p w14:paraId="78DD3D1C" w14:textId="3F1DD3CB" w:rsidR="00C2281E" w:rsidRPr="00147DE0" w:rsidRDefault="00C2281E" w:rsidP="00147DE0">
      <w:pPr>
        <w:pStyle w:val="BodyBullet"/>
        <w:rPr>
          <w:rStyle w:val="Strong"/>
          <w:b w:val="0"/>
        </w:rPr>
      </w:pPr>
      <w:r w:rsidRPr="00147DE0">
        <w:rPr>
          <w:rStyle w:val="Strong"/>
          <w:b w:val="0"/>
          <w:i/>
        </w:rPr>
        <w:t xml:space="preserve">Forfeiture remedy. </w:t>
      </w:r>
      <w:r w:rsidRPr="00147DE0">
        <w:rPr>
          <w:rStyle w:val="Strong"/>
          <w:b w:val="0"/>
        </w:rPr>
        <w:t xml:space="preserve">A limitation on </w:t>
      </w:r>
      <w:r w:rsidR="00A8411C">
        <w:rPr>
          <w:rStyle w:val="Strong"/>
          <w:b w:val="0"/>
        </w:rPr>
        <w:t>holder</w:t>
      </w:r>
      <w:r w:rsidR="007C1651">
        <w:rPr>
          <w:rStyle w:val="Strong"/>
          <w:b w:val="0"/>
        </w:rPr>
        <w:t>’</w:t>
      </w:r>
      <w:r w:rsidRPr="00147DE0">
        <w:rPr>
          <w:rStyle w:val="Strong"/>
          <w:b w:val="0"/>
        </w:rPr>
        <w:t xml:space="preserve">s interest in the conservation easement allowing a court of competent jurisdiction to cause a forfeiture and a transfer to a successive </w:t>
      </w:r>
      <w:r w:rsidR="00A8411C">
        <w:rPr>
          <w:rStyle w:val="Strong"/>
          <w:b w:val="0"/>
        </w:rPr>
        <w:t>holder</w:t>
      </w:r>
      <w:r w:rsidRPr="00147DE0">
        <w:rPr>
          <w:rStyle w:val="Strong"/>
          <w:b w:val="0"/>
        </w:rPr>
        <w:t xml:space="preserve"> if the </w:t>
      </w:r>
      <w:r w:rsidR="00A8411C">
        <w:rPr>
          <w:rStyle w:val="Strong"/>
          <w:b w:val="0"/>
        </w:rPr>
        <w:t>holder</w:t>
      </w:r>
      <w:r w:rsidRPr="00147DE0">
        <w:rPr>
          <w:rStyle w:val="Strong"/>
          <w:b w:val="0"/>
        </w:rPr>
        <w:t xml:space="preserve"> fails to abide by these covenants. </w:t>
      </w:r>
    </w:p>
    <w:p w14:paraId="5A7E4199" w14:textId="77777777" w:rsidR="00C2281E" w:rsidRPr="00C200B9" w:rsidRDefault="00C2281E" w:rsidP="00C2281E">
      <w:pPr>
        <w:pStyle w:val="Heading2"/>
      </w:pPr>
      <w:bookmarkStart w:id="18" w:name="_Toc275788815"/>
      <w:bookmarkStart w:id="19" w:name="_Toc288819804"/>
      <w:r>
        <w:t>Legal Constraints</w:t>
      </w:r>
      <w:bookmarkEnd w:id="18"/>
      <w:bookmarkEnd w:id="19"/>
    </w:p>
    <w:p w14:paraId="38A7701C" w14:textId="128FECBE" w:rsidR="00C2281E" w:rsidRPr="00C200B9" w:rsidRDefault="00C2281E" w:rsidP="00C2281E">
      <w:pPr>
        <w:pStyle w:val="BodyText"/>
      </w:pPr>
      <w:r w:rsidRPr="00C200B9">
        <w:t xml:space="preserve">The Attorney General, if not named as a beneficiary in the </w:t>
      </w:r>
      <w:r>
        <w:t>grant</w:t>
      </w:r>
      <w:r w:rsidRPr="00C200B9">
        <w:t>, may petition the court of competent juri</w:t>
      </w:r>
      <w:r w:rsidRPr="00C200B9">
        <w:t>s</w:t>
      </w:r>
      <w:r w:rsidRPr="00C200B9">
        <w:t xml:space="preserve">diction to recognize it as an intended beneficiary of the </w:t>
      </w:r>
      <w:r w:rsidR="00A8411C">
        <w:t>holder</w:t>
      </w:r>
      <w:r w:rsidRPr="00C200B9">
        <w:t xml:space="preserve"> covenants. In addition, as explained in </w:t>
      </w:r>
      <w:hyperlink r:id="rId11" w:history="1">
        <w:r w:rsidR="00897402" w:rsidRPr="001A44B3">
          <w:rPr>
            <w:rStyle w:val="Hyperlink"/>
            <w:i/>
          </w:rPr>
          <w:t>N</w:t>
        </w:r>
        <w:r w:rsidR="00897402" w:rsidRPr="001A44B3">
          <w:rPr>
            <w:rStyle w:val="Hyperlink"/>
            <w:i/>
          </w:rPr>
          <w:t>a</w:t>
        </w:r>
        <w:r w:rsidR="00897402" w:rsidRPr="001A44B3">
          <w:rPr>
            <w:rStyle w:val="Hyperlink"/>
            <w:i/>
          </w:rPr>
          <w:t>ture of the Conservation Easement</w:t>
        </w:r>
      </w:hyperlink>
      <w:r w:rsidRPr="00C200B9">
        <w:t>, the Attorney General has oversight authority over charitable assets, inclu</w:t>
      </w:r>
      <w:r w:rsidRPr="00C200B9">
        <w:t>d</w:t>
      </w:r>
      <w:r w:rsidRPr="00C200B9">
        <w:t xml:space="preserve">ing conservation easement assets, to prevent squandering, waste and dissipation. </w:t>
      </w:r>
    </w:p>
    <w:p w14:paraId="0A84C0BC" w14:textId="31792156" w:rsidR="00C2281E" w:rsidRPr="00C200B9" w:rsidRDefault="00C2281E" w:rsidP="00C2281E">
      <w:pPr>
        <w:pStyle w:val="BodyText"/>
      </w:pPr>
      <w:r w:rsidRPr="00C200B9">
        <w:t xml:space="preserve">If the </w:t>
      </w:r>
      <w:r w:rsidR="00A8411C">
        <w:t>holder</w:t>
      </w:r>
      <w:r w:rsidRPr="00C200B9">
        <w:t xml:space="preserve">, by amending the </w:t>
      </w:r>
      <w:r>
        <w:t>grant</w:t>
      </w:r>
      <w:r w:rsidRPr="00C200B9">
        <w:t xml:space="preserve">, confers </w:t>
      </w:r>
      <w:r>
        <w:t>impe</w:t>
      </w:r>
      <w:r>
        <w:t>r</w:t>
      </w:r>
      <w:r>
        <w:t xml:space="preserve">missible </w:t>
      </w:r>
      <w:r w:rsidRPr="00C200B9">
        <w:t>benefits to the landowners, the IRS charitable exemption rules may be applied to jeopardize the st</w:t>
      </w:r>
      <w:r w:rsidRPr="00C200B9">
        <w:t>a</w:t>
      </w:r>
      <w:r w:rsidRPr="00C200B9">
        <w:t xml:space="preserve">tus of the </w:t>
      </w:r>
      <w:r w:rsidR="00A8411C">
        <w:t>holder</w:t>
      </w:r>
      <w:r w:rsidRPr="00C200B9">
        <w:t xml:space="preserve"> as an exempt organization. </w:t>
      </w:r>
      <w:r>
        <w:t>This guide reviews these rules</w:t>
      </w:r>
      <w:r w:rsidRPr="00C200B9">
        <w:t xml:space="preserve"> (the private benefit rule and the private inurement rule) </w:t>
      </w:r>
      <w:r>
        <w:t>in detail</w:t>
      </w:r>
      <w:r w:rsidRPr="00C200B9">
        <w:t>.</w:t>
      </w:r>
    </w:p>
    <w:p w14:paraId="2C87F6FD" w14:textId="77777777" w:rsidR="00147DE0" w:rsidRPr="008A4E88" w:rsidRDefault="00147DE0" w:rsidP="00147DE0">
      <w:pPr>
        <w:pStyle w:val="Heading1"/>
      </w:pPr>
      <w:bookmarkStart w:id="20" w:name="_Toc275788816"/>
      <w:bookmarkStart w:id="21" w:name="_Toc288819805"/>
      <w:r w:rsidRPr="008A4E88">
        <w:t xml:space="preserve">General Rules for Amendment, Release or Termination of </w:t>
      </w:r>
      <w:r>
        <w:t>Grant</w:t>
      </w:r>
      <w:bookmarkEnd w:id="20"/>
      <w:bookmarkEnd w:id="21"/>
    </w:p>
    <w:p w14:paraId="771B0606" w14:textId="77777777" w:rsidR="00147DE0" w:rsidRPr="009E3F5B" w:rsidRDefault="00147DE0" w:rsidP="00147DE0">
      <w:pPr>
        <w:pStyle w:val="BodyText"/>
      </w:pPr>
      <w:r>
        <w:t xml:space="preserve">Subject to the legal constraints on amending grants of conservation easements discussed below, the general rules governing amendment, release or </w:t>
      </w:r>
      <w:proofErr w:type="gramStart"/>
      <w:r>
        <w:t>termination of grants of conservation easement under Pennsylvania law are</w:t>
      </w:r>
      <w:proofErr w:type="gramEnd"/>
      <w:r>
        <w:t xml:space="preserve"> as follows:</w:t>
      </w:r>
    </w:p>
    <w:p w14:paraId="62C30445" w14:textId="77777777" w:rsidR="00147DE0" w:rsidRDefault="00147DE0" w:rsidP="00147DE0">
      <w:pPr>
        <w:pStyle w:val="Heading2"/>
      </w:pPr>
      <w:bookmarkStart w:id="22" w:name="_Toc275788817"/>
      <w:bookmarkStart w:id="23" w:name="_Toc288819806"/>
      <w:r w:rsidRPr="000D0179">
        <w:t>Amendment</w:t>
      </w:r>
      <w:r>
        <w:t xml:space="preserve"> of Grant</w:t>
      </w:r>
      <w:bookmarkEnd w:id="22"/>
      <w:bookmarkEnd w:id="23"/>
    </w:p>
    <w:p w14:paraId="6E87C113" w14:textId="77777777" w:rsidR="00147DE0" w:rsidRDefault="00147DE0" w:rsidP="00147DE0">
      <w:pPr>
        <w:pStyle w:val="Heading3"/>
      </w:pPr>
      <w:bookmarkStart w:id="24" w:name="_Toc275788818"/>
      <w:r>
        <w:t>Pennsylvania law</w:t>
      </w:r>
      <w:bookmarkEnd w:id="24"/>
    </w:p>
    <w:p w14:paraId="6906F953" w14:textId="77777777" w:rsidR="00147DE0" w:rsidRDefault="00147DE0" w:rsidP="00147DE0">
      <w:pPr>
        <w:pStyle w:val="BodyText"/>
        <w:rPr>
          <w:lang w:eastAsia="ja-JP"/>
        </w:rPr>
      </w:pPr>
      <w:r>
        <w:rPr>
          <w:lang w:eastAsia="ja-JP"/>
        </w:rPr>
        <w:t>Pennsylvania law permits amendment of the grant as any other real estate document.</w:t>
      </w:r>
      <w:r>
        <w:rPr>
          <w:rStyle w:val="FootnoteReference"/>
          <w:lang w:eastAsia="ja-JP"/>
        </w:rPr>
        <w:footnoteReference w:id="12"/>
      </w:r>
      <w:r>
        <w:rPr>
          <w:lang w:eastAsia="ja-JP"/>
        </w:rPr>
        <w:t xml:space="preserve"> Amendments of real estate documents are recorded in the public records of the county in which the land is located and are bin</w:t>
      </w:r>
      <w:r>
        <w:rPr>
          <w:lang w:eastAsia="ja-JP"/>
        </w:rPr>
        <w:t>d</w:t>
      </w:r>
      <w:r>
        <w:rPr>
          <w:lang w:eastAsia="ja-JP"/>
        </w:rPr>
        <w:t>ing upon the signatories to the amendment and their successors and assigns as owners of their respective interests in the land described in the amendment.</w:t>
      </w:r>
      <w:r>
        <w:rPr>
          <w:rStyle w:val="FootnoteReference"/>
          <w:lang w:eastAsia="ja-JP"/>
        </w:rPr>
        <w:footnoteReference w:id="13"/>
      </w:r>
      <w:r>
        <w:rPr>
          <w:lang w:eastAsia="ja-JP"/>
        </w:rPr>
        <w:t xml:space="preserve"> </w:t>
      </w:r>
    </w:p>
    <w:p w14:paraId="4B97D612" w14:textId="77777777" w:rsidR="00147DE0" w:rsidRDefault="00147DE0" w:rsidP="00147DE0">
      <w:pPr>
        <w:pStyle w:val="Heading3"/>
      </w:pPr>
      <w:bookmarkStart w:id="25" w:name="_Toc275788819"/>
      <w:r>
        <w:t>Grant provisions regarding amendment</w:t>
      </w:r>
      <w:bookmarkEnd w:id="25"/>
    </w:p>
    <w:p w14:paraId="1AFC401E" w14:textId="0BE24552" w:rsidR="00147DE0" w:rsidRDefault="00147DE0" w:rsidP="00147DE0">
      <w:pPr>
        <w:pStyle w:val="BodyText"/>
        <w:rPr>
          <w:lang w:eastAsia="ja-JP"/>
        </w:rPr>
      </w:pPr>
      <w:r>
        <w:rPr>
          <w:lang w:eastAsia="ja-JP"/>
        </w:rPr>
        <w:t xml:space="preserve">A grant may place limitations on a </w:t>
      </w:r>
      <w:r>
        <w:t>landowner</w:t>
      </w:r>
      <w:r w:rsidRPr="008670C8">
        <w:t xml:space="preserve"> and </w:t>
      </w:r>
      <w:r w:rsidR="00A8411C">
        <w:t>holder</w:t>
      </w:r>
      <w:r w:rsidR="007C1651">
        <w:t>’</w:t>
      </w:r>
      <w:r>
        <w:t>s</w:t>
      </w:r>
      <w:r>
        <w:rPr>
          <w:lang w:eastAsia="ja-JP"/>
        </w:rPr>
        <w:t xml:space="preserve"> freedom to amend the grant.</w:t>
      </w:r>
      <w:r w:rsidR="007C1651">
        <w:rPr>
          <w:lang w:eastAsia="ja-JP"/>
        </w:rPr>
        <w:t xml:space="preserve"> </w:t>
      </w:r>
      <w:r>
        <w:rPr>
          <w:lang w:eastAsia="ja-JP"/>
        </w:rPr>
        <w:t>For example, the 6</w:t>
      </w:r>
      <w:r w:rsidRPr="00527A97">
        <w:rPr>
          <w:vertAlign w:val="superscript"/>
          <w:lang w:eastAsia="ja-JP"/>
        </w:rPr>
        <w:t>th</w:t>
      </w:r>
      <w:r>
        <w:rPr>
          <w:lang w:eastAsia="ja-JP"/>
        </w:rPr>
        <w:t xml:space="preserve"> edition of the </w:t>
      </w:r>
      <w:hyperlink r:id="rId12" w:history="1">
        <w:r w:rsidRPr="00897402">
          <w:rPr>
            <w:rStyle w:val="Hyperlink"/>
            <w:i/>
            <w:lang w:eastAsia="ja-JP"/>
          </w:rPr>
          <w:t>Model Grant of Conservation Easement and Commentary</w:t>
        </w:r>
      </w:hyperlink>
      <w:r>
        <w:rPr>
          <w:lang w:eastAsia="ja-JP"/>
        </w:rPr>
        <w:t xml:space="preserve"> (the </w:t>
      </w:r>
      <w:r w:rsidR="007C1651">
        <w:rPr>
          <w:lang w:eastAsia="ja-JP"/>
        </w:rPr>
        <w:t>“</w:t>
      </w:r>
      <w:r>
        <w:rPr>
          <w:lang w:eastAsia="ja-JP"/>
        </w:rPr>
        <w:t>Model Grant</w:t>
      </w:r>
      <w:r w:rsidR="007C1651">
        <w:rPr>
          <w:lang w:eastAsia="ja-JP"/>
        </w:rPr>
        <w:t>”</w:t>
      </w:r>
      <w:r>
        <w:rPr>
          <w:lang w:eastAsia="ja-JP"/>
        </w:rPr>
        <w:t>)</w:t>
      </w:r>
      <w:r>
        <w:rPr>
          <w:rStyle w:val="FootnoteReference"/>
          <w:lang w:eastAsia="ja-JP"/>
        </w:rPr>
        <w:footnoteReference w:id="14"/>
      </w:r>
      <w:r>
        <w:rPr>
          <w:lang w:eastAsia="ja-JP"/>
        </w:rPr>
        <w:t xml:space="preserve"> allows amen</w:t>
      </w:r>
      <w:r>
        <w:rPr>
          <w:lang w:eastAsia="ja-JP"/>
        </w:rPr>
        <w:t>d</w:t>
      </w:r>
      <w:r>
        <w:rPr>
          <w:lang w:eastAsia="ja-JP"/>
        </w:rPr>
        <w:t xml:space="preserve">ment of the grant at the discretion of </w:t>
      </w:r>
      <w:r w:rsidR="00897402">
        <w:rPr>
          <w:lang w:eastAsia="ja-JP"/>
        </w:rPr>
        <w:t xml:space="preserve">holder </w:t>
      </w:r>
      <w:r>
        <w:rPr>
          <w:lang w:eastAsia="ja-JP"/>
        </w:rPr>
        <w:t>and the approval of owners, provided:</w:t>
      </w:r>
    </w:p>
    <w:p w14:paraId="5A346EA0" w14:textId="1E16CEFD" w:rsidR="00147DE0" w:rsidRDefault="00147DE0" w:rsidP="00147DE0">
      <w:pPr>
        <w:pStyle w:val="BlockText"/>
      </w:pPr>
      <w:proofErr w:type="gramStart"/>
      <w:r w:rsidRPr="00A95435">
        <w:t>that</w:t>
      </w:r>
      <w:proofErr w:type="gramEnd"/>
      <w:r w:rsidRPr="00A95435">
        <w:t xml:space="preserve"> the Amendment is consistent with and in fu</w:t>
      </w:r>
      <w:r w:rsidRPr="00A95435">
        <w:t>r</w:t>
      </w:r>
      <w:r w:rsidRPr="00A95435">
        <w:t xml:space="preserve">therance </w:t>
      </w:r>
      <w:r w:rsidRPr="00147DE0">
        <w:t>of the Conservation Objectives; will not result in any private benefit prohibited under the Code; and otherwise conforms</w:t>
      </w:r>
      <w:r w:rsidRPr="00A95435">
        <w:t xml:space="preserve"> to </w:t>
      </w:r>
      <w:r w:rsidR="00A8411C">
        <w:t>Holder</w:t>
      </w:r>
      <w:r w:rsidR="007C1651">
        <w:t>’</w:t>
      </w:r>
      <w:r w:rsidRPr="00A95435">
        <w:t>s policy with respect to Amendments.</w:t>
      </w:r>
      <w:r>
        <w:rPr>
          <w:rStyle w:val="FootnoteReference"/>
        </w:rPr>
        <w:footnoteReference w:id="15"/>
      </w:r>
    </w:p>
    <w:p w14:paraId="2884E504" w14:textId="77777777" w:rsidR="00147DE0" w:rsidRPr="001C3415" w:rsidRDefault="00147DE0" w:rsidP="00147DE0">
      <w:pPr>
        <w:pStyle w:val="Heading2"/>
      </w:pPr>
      <w:bookmarkStart w:id="26" w:name="_Toc275788820"/>
      <w:bookmarkStart w:id="27" w:name="_Toc288819807"/>
      <w:r>
        <w:t>Release of Easement</w:t>
      </w:r>
      <w:bookmarkEnd w:id="26"/>
      <w:bookmarkEnd w:id="27"/>
    </w:p>
    <w:p w14:paraId="0D528BB8" w14:textId="2A768FDC" w:rsidR="00147DE0" w:rsidRDefault="00147DE0" w:rsidP="00147DE0">
      <w:pPr>
        <w:pStyle w:val="BodyText"/>
        <w:rPr>
          <w:lang w:eastAsia="ja-JP"/>
        </w:rPr>
      </w:pPr>
      <w:r>
        <w:rPr>
          <w:lang w:eastAsia="ja-JP"/>
        </w:rPr>
        <w:t>Pennsylvania law permits release of the conservation easement and termination of covenants as any other real estate document.</w:t>
      </w:r>
      <w:r>
        <w:rPr>
          <w:rStyle w:val="FootnoteReference"/>
          <w:lang w:eastAsia="ja-JP"/>
        </w:rPr>
        <w:footnoteReference w:id="16"/>
      </w:r>
      <w:r>
        <w:rPr>
          <w:lang w:eastAsia="ja-JP"/>
        </w:rPr>
        <w:t xml:space="preserve"> However, other legal conside</w:t>
      </w:r>
      <w:r>
        <w:rPr>
          <w:lang w:eastAsia="ja-JP"/>
        </w:rPr>
        <w:t>r</w:t>
      </w:r>
      <w:r>
        <w:rPr>
          <w:lang w:eastAsia="ja-JP"/>
        </w:rPr>
        <w:t xml:space="preserve">ations discussed in this guide bear on the </w:t>
      </w:r>
      <w:r w:rsidR="00A8411C">
        <w:rPr>
          <w:lang w:eastAsia="ja-JP"/>
        </w:rPr>
        <w:t>holder</w:t>
      </w:r>
      <w:r w:rsidR="007C1651">
        <w:rPr>
          <w:lang w:eastAsia="ja-JP"/>
        </w:rPr>
        <w:t>’</w:t>
      </w:r>
      <w:r>
        <w:rPr>
          <w:lang w:eastAsia="ja-JP"/>
        </w:rPr>
        <w:t>s decision to take such action. The content of this section is limited to formal requirements of Pennsylvania law.</w:t>
      </w:r>
    </w:p>
    <w:p w14:paraId="32C6CD57" w14:textId="77777777" w:rsidR="00147DE0" w:rsidRDefault="00147DE0" w:rsidP="00147DE0">
      <w:pPr>
        <w:pStyle w:val="Heading3"/>
      </w:pPr>
      <w:bookmarkStart w:id="28" w:name="_Toc275788821"/>
      <w:r>
        <w:t>Voluntary release and termination</w:t>
      </w:r>
      <w:bookmarkEnd w:id="28"/>
    </w:p>
    <w:p w14:paraId="0FC03EA0" w14:textId="77777777" w:rsidR="00147DE0" w:rsidRDefault="00147DE0" w:rsidP="00147DE0">
      <w:pPr>
        <w:pStyle w:val="BodyText"/>
        <w:rPr>
          <w:lang w:eastAsia="ja-JP"/>
        </w:rPr>
      </w:pPr>
      <w:r>
        <w:rPr>
          <w:lang w:eastAsia="ja-JP"/>
        </w:rPr>
        <w:t xml:space="preserve">If a conservation easement is to be released in whole or in part, the </w:t>
      </w:r>
      <w:proofErr w:type="spellStart"/>
      <w:r>
        <w:rPr>
          <w:lang w:eastAsia="ja-JP"/>
        </w:rPr>
        <w:t>conveyancing</w:t>
      </w:r>
      <w:proofErr w:type="spellEnd"/>
      <w:r>
        <w:rPr>
          <w:lang w:eastAsia="ja-JP"/>
        </w:rPr>
        <w:t xml:space="preserve"> procedure to evidence on the public records the reversion of that interest back to the landowners is to record a release of the conserv</w:t>
      </w:r>
      <w:r>
        <w:rPr>
          <w:lang w:eastAsia="ja-JP"/>
        </w:rPr>
        <w:t>a</w:t>
      </w:r>
      <w:r>
        <w:rPr>
          <w:lang w:eastAsia="ja-JP"/>
        </w:rPr>
        <w:t>tion easement as to the land described in such release.</w:t>
      </w:r>
      <w:r>
        <w:rPr>
          <w:rStyle w:val="FootnoteReference"/>
          <w:lang w:eastAsia="ja-JP"/>
        </w:rPr>
        <w:footnoteReference w:id="17"/>
      </w:r>
      <w:r>
        <w:rPr>
          <w:lang w:eastAsia="ja-JP"/>
        </w:rPr>
        <w:t xml:space="preserve"> A properly drafted release will also include a termination of the covenants included in the grant as applied to the land described in the release.</w:t>
      </w:r>
    </w:p>
    <w:p w14:paraId="5D2F468E" w14:textId="77777777" w:rsidR="00147DE0" w:rsidRDefault="00147DE0" w:rsidP="00147DE0">
      <w:pPr>
        <w:pStyle w:val="Heading3"/>
      </w:pPr>
      <w:bookmarkStart w:id="29" w:name="_Toc275788822"/>
      <w:r>
        <w:t>Involuntary release by exercise of power of eminent domain</w:t>
      </w:r>
      <w:bookmarkEnd w:id="29"/>
    </w:p>
    <w:p w14:paraId="79B2ABE5" w14:textId="542B64CB" w:rsidR="00147DE0" w:rsidRDefault="00147DE0" w:rsidP="00147DE0">
      <w:pPr>
        <w:pStyle w:val="BodyText"/>
        <w:rPr>
          <w:lang w:eastAsia="ja-JP"/>
        </w:rPr>
      </w:pPr>
      <w:r>
        <w:rPr>
          <w:lang w:eastAsia="ja-JP"/>
        </w:rPr>
        <w:t>A conservation easement, like any other real estate interest, may be taken by lawful exercise of the power of condemnation or right of eminent domain</w:t>
      </w:r>
      <w:r>
        <w:rPr>
          <w:rStyle w:val="FootnoteReference"/>
          <w:lang w:eastAsia="ja-JP"/>
        </w:rPr>
        <w:footnoteReference w:id="18"/>
      </w:r>
      <w:r>
        <w:rPr>
          <w:lang w:eastAsia="ja-JP"/>
        </w:rPr>
        <w:t xml:space="preserve"> or by a voluntary purchase and sale in lieu of condemnation.</w:t>
      </w:r>
      <w:r>
        <w:rPr>
          <w:rStyle w:val="FootnoteReference"/>
          <w:lang w:eastAsia="ja-JP"/>
        </w:rPr>
        <w:footnoteReference w:id="19"/>
      </w:r>
      <w:r>
        <w:rPr>
          <w:lang w:eastAsia="ja-JP"/>
        </w:rPr>
        <w:t xml:space="preserve"> The </w:t>
      </w:r>
      <w:r w:rsidR="00A8411C">
        <w:rPr>
          <w:lang w:eastAsia="ja-JP"/>
        </w:rPr>
        <w:t>holder</w:t>
      </w:r>
      <w:r>
        <w:rPr>
          <w:lang w:eastAsia="ja-JP"/>
        </w:rPr>
        <w:t xml:space="preserve"> is entitled to just compensation as provi</w:t>
      </w:r>
      <w:r>
        <w:rPr>
          <w:lang w:eastAsia="ja-JP"/>
        </w:rPr>
        <w:t>d</w:t>
      </w:r>
      <w:r>
        <w:rPr>
          <w:lang w:eastAsia="ja-JP"/>
        </w:rPr>
        <w:t>ed by law or, if a particular allocation of damages is provided in the grant, in accordance with the agreed upon allocation.</w:t>
      </w:r>
      <w:r>
        <w:rPr>
          <w:rStyle w:val="FootnoteReference"/>
          <w:lang w:eastAsia="ja-JP"/>
        </w:rPr>
        <w:footnoteReference w:id="20"/>
      </w:r>
      <w:r>
        <w:rPr>
          <w:lang w:eastAsia="ja-JP"/>
        </w:rPr>
        <w:t xml:space="preserve"> </w:t>
      </w:r>
    </w:p>
    <w:p w14:paraId="56796920" w14:textId="3679EE45" w:rsidR="00147DE0" w:rsidRDefault="00A8411C" w:rsidP="00147DE0">
      <w:pPr>
        <w:pStyle w:val="BodyText"/>
        <w:rPr>
          <w:lang w:eastAsia="ja-JP"/>
        </w:rPr>
      </w:pPr>
      <w:r>
        <w:rPr>
          <w:lang w:eastAsia="ja-JP"/>
        </w:rPr>
        <w:t>Holder</w:t>
      </w:r>
      <w:r w:rsidR="00147DE0">
        <w:rPr>
          <w:lang w:eastAsia="ja-JP"/>
        </w:rPr>
        <w:t xml:space="preserve"> has no obligation under Pennsylvania law to contest a taking of eased property by eminent d</w:t>
      </w:r>
      <w:r w:rsidR="00147DE0">
        <w:rPr>
          <w:lang w:eastAsia="ja-JP"/>
        </w:rPr>
        <w:t>o</w:t>
      </w:r>
      <w:r w:rsidR="00147DE0">
        <w:rPr>
          <w:lang w:eastAsia="ja-JP"/>
        </w:rPr>
        <w:t>main.</w:t>
      </w:r>
      <w:r w:rsidR="00147DE0">
        <w:rPr>
          <w:rStyle w:val="FootnoteReference"/>
          <w:lang w:eastAsia="ja-JP"/>
        </w:rPr>
        <w:footnoteReference w:id="21"/>
      </w:r>
      <w:r w:rsidR="00147DE0">
        <w:rPr>
          <w:lang w:eastAsia="ja-JP"/>
        </w:rPr>
        <w:t xml:space="preserve"> The Model Grant provides </w:t>
      </w:r>
      <w:r w:rsidR="00897402">
        <w:rPr>
          <w:lang w:eastAsia="ja-JP"/>
        </w:rPr>
        <w:t xml:space="preserve">holder </w:t>
      </w:r>
      <w:r w:rsidR="00147DE0">
        <w:rPr>
          <w:lang w:eastAsia="ja-JP"/>
        </w:rPr>
        <w:t>with the right to receive condemnation proceeds commens</w:t>
      </w:r>
      <w:r w:rsidR="00147DE0">
        <w:rPr>
          <w:lang w:eastAsia="ja-JP"/>
        </w:rPr>
        <w:t>u</w:t>
      </w:r>
      <w:r w:rsidR="00147DE0">
        <w:rPr>
          <w:lang w:eastAsia="ja-JP"/>
        </w:rPr>
        <w:t xml:space="preserve">rate with the easement value as per the IRC charitable gift rules. The IRC charitable gift rules do not require </w:t>
      </w:r>
      <w:r w:rsidR="00897402">
        <w:rPr>
          <w:lang w:eastAsia="ja-JP"/>
        </w:rPr>
        <w:t>h</w:t>
      </w:r>
      <w:r>
        <w:rPr>
          <w:lang w:eastAsia="ja-JP"/>
        </w:rPr>
        <w:t>older</w:t>
      </w:r>
      <w:r w:rsidR="00147DE0">
        <w:rPr>
          <w:lang w:eastAsia="ja-JP"/>
        </w:rPr>
        <w:t>s to contest governmental takings of eased property by the power of eminent domain. The dec</w:t>
      </w:r>
      <w:r w:rsidR="00147DE0">
        <w:rPr>
          <w:lang w:eastAsia="ja-JP"/>
        </w:rPr>
        <w:t>i</w:t>
      </w:r>
      <w:r w:rsidR="00147DE0">
        <w:rPr>
          <w:lang w:eastAsia="ja-JP"/>
        </w:rPr>
        <w:t xml:space="preserve">sion to contest, or not, is a decision in the purview of the </w:t>
      </w:r>
      <w:r>
        <w:rPr>
          <w:lang w:eastAsia="ja-JP"/>
        </w:rPr>
        <w:t>holder</w:t>
      </w:r>
      <w:r w:rsidR="007C1651">
        <w:rPr>
          <w:lang w:eastAsia="ja-JP"/>
        </w:rPr>
        <w:t>’</w:t>
      </w:r>
      <w:r w:rsidR="00147DE0">
        <w:rPr>
          <w:lang w:eastAsia="ja-JP"/>
        </w:rPr>
        <w:t>s board based upon facts, circumstances, costs and benefits of the taking in question.</w:t>
      </w:r>
    </w:p>
    <w:p w14:paraId="0AC2D110" w14:textId="77777777" w:rsidR="00147DE0" w:rsidRDefault="00147DE0" w:rsidP="00147DE0">
      <w:pPr>
        <w:pStyle w:val="Heading1"/>
      </w:pPr>
      <w:bookmarkStart w:id="30" w:name="_Toc275788823"/>
      <w:bookmarkStart w:id="31" w:name="_Toc288819808"/>
      <w:r>
        <w:t>What Is Being Enforced? What is Being Amended?</w:t>
      </w:r>
      <w:bookmarkEnd w:id="30"/>
      <w:bookmarkEnd w:id="31"/>
    </w:p>
    <w:p w14:paraId="6EDAFD85" w14:textId="77777777" w:rsidR="00147DE0" w:rsidRDefault="00147DE0" w:rsidP="00147DE0">
      <w:pPr>
        <w:pStyle w:val="Heading2"/>
      </w:pPr>
      <w:bookmarkStart w:id="32" w:name="_Toc275788824"/>
      <w:bookmarkStart w:id="33" w:name="_Toc288819809"/>
      <w:r>
        <w:t>Enforcement</w:t>
      </w:r>
      <w:bookmarkEnd w:id="32"/>
      <w:bookmarkEnd w:id="33"/>
    </w:p>
    <w:p w14:paraId="623CC5AF" w14:textId="77777777" w:rsidR="00147DE0" w:rsidRDefault="00147DE0" w:rsidP="00147DE0">
      <w:pPr>
        <w:pStyle w:val="BodyText"/>
        <w:rPr>
          <w:lang w:eastAsia="ja-JP"/>
        </w:rPr>
      </w:pPr>
      <w:r>
        <w:rPr>
          <w:lang w:eastAsia="ja-JP"/>
        </w:rPr>
        <w:t>Amendment discussions often center on concerns for enforcing conservation easements in perpetuity. But what does it mean to enforce an easement?</w:t>
      </w:r>
    </w:p>
    <w:p w14:paraId="5078B9D8" w14:textId="5F86E373" w:rsidR="00147DE0" w:rsidRDefault="00147DE0" w:rsidP="00147DE0">
      <w:pPr>
        <w:pStyle w:val="BodyText"/>
        <w:rPr>
          <w:lang w:eastAsia="ja-JP"/>
        </w:rPr>
      </w:pPr>
      <w:r w:rsidRPr="0052154A">
        <w:rPr>
          <w:lang w:eastAsia="ja-JP"/>
        </w:rPr>
        <w:t xml:space="preserve">The conservation easement is an interest in the land. As discussed in </w:t>
      </w:r>
      <w:hyperlink r:id="rId13" w:history="1">
        <w:r w:rsidR="00897402" w:rsidRPr="001A44B3">
          <w:rPr>
            <w:rStyle w:val="Hyperlink"/>
            <w:i/>
          </w:rPr>
          <w:t>Nature of the Conservation Easement</w:t>
        </w:r>
      </w:hyperlink>
      <w:r w:rsidRPr="0052154A">
        <w:rPr>
          <w:lang w:eastAsia="ja-JP"/>
        </w:rPr>
        <w:t xml:space="preserve">, the interest may be described, in plain language, as the power to block land uses within a particular land area that are inconsistent with the conservation purposes of the easement. </w:t>
      </w:r>
      <w:r>
        <w:rPr>
          <w:lang w:eastAsia="ja-JP"/>
        </w:rPr>
        <w:t>E</w:t>
      </w:r>
      <w:r w:rsidRPr="0052154A">
        <w:rPr>
          <w:lang w:eastAsia="ja-JP"/>
        </w:rPr>
        <w:t>nforcing the easement means to exe</w:t>
      </w:r>
      <w:r w:rsidRPr="0052154A">
        <w:rPr>
          <w:lang w:eastAsia="ja-JP"/>
        </w:rPr>
        <w:t>r</w:t>
      </w:r>
      <w:r w:rsidRPr="0052154A">
        <w:rPr>
          <w:lang w:eastAsia="ja-JP"/>
        </w:rPr>
        <w:t xml:space="preserve">cise the power conveyed to </w:t>
      </w:r>
      <w:r w:rsidR="00A8411C">
        <w:rPr>
          <w:lang w:eastAsia="ja-JP"/>
        </w:rPr>
        <w:t>holder</w:t>
      </w:r>
      <w:r w:rsidRPr="0052154A">
        <w:rPr>
          <w:lang w:eastAsia="ja-JP"/>
        </w:rPr>
        <w:t xml:space="preserve"> to conserve the land in accordance with the purposes of the easement as set forth in the </w:t>
      </w:r>
      <w:r>
        <w:rPr>
          <w:lang w:eastAsia="ja-JP"/>
        </w:rPr>
        <w:t>grant</w:t>
      </w:r>
      <w:r w:rsidRPr="0052154A">
        <w:rPr>
          <w:lang w:eastAsia="ja-JP"/>
        </w:rPr>
        <w:t xml:space="preserve">. This </w:t>
      </w:r>
      <w:r>
        <w:rPr>
          <w:lang w:eastAsia="ja-JP"/>
        </w:rPr>
        <w:t xml:space="preserve">enforcement </w:t>
      </w:r>
      <w:r w:rsidRPr="0052154A">
        <w:rPr>
          <w:lang w:eastAsia="ja-JP"/>
        </w:rPr>
        <w:t xml:space="preserve">is not </w:t>
      </w:r>
      <w:r>
        <w:rPr>
          <w:lang w:eastAsia="ja-JP"/>
        </w:rPr>
        <w:t>co</w:t>
      </w:r>
      <w:r>
        <w:rPr>
          <w:lang w:eastAsia="ja-JP"/>
        </w:rPr>
        <w:t>n</w:t>
      </w:r>
      <w:r>
        <w:rPr>
          <w:lang w:eastAsia="ja-JP"/>
        </w:rPr>
        <w:t>terminous</w:t>
      </w:r>
      <w:r w:rsidRPr="0052154A">
        <w:rPr>
          <w:lang w:eastAsia="ja-JP"/>
        </w:rPr>
        <w:t xml:space="preserve"> with enforcing </w:t>
      </w:r>
      <w:r>
        <w:rPr>
          <w:lang w:eastAsia="ja-JP"/>
        </w:rPr>
        <w:t xml:space="preserve">perpetual </w:t>
      </w:r>
      <w:r w:rsidRPr="0052154A">
        <w:rPr>
          <w:lang w:eastAsia="ja-JP"/>
        </w:rPr>
        <w:t xml:space="preserve">adherence to the covenants contained in the original </w:t>
      </w:r>
      <w:r>
        <w:rPr>
          <w:lang w:eastAsia="ja-JP"/>
        </w:rPr>
        <w:t>grant. These cov</w:t>
      </w:r>
      <w:r>
        <w:rPr>
          <w:lang w:eastAsia="ja-JP"/>
        </w:rPr>
        <w:t>e</w:t>
      </w:r>
      <w:r>
        <w:rPr>
          <w:lang w:eastAsia="ja-JP"/>
        </w:rPr>
        <w:t xml:space="preserve">nants </w:t>
      </w:r>
      <w:r w:rsidRPr="00935D71">
        <w:rPr>
          <w:i/>
          <w:lang w:eastAsia="ja-JP"/>
        </w:rPr>
        <w:t>potentially</w:t>
      </w:r>
      <w:r>
        <w:rPr>
          <w:lang w:eastAsia="ja-JP"/>
        </w:rPr>
        <w:t xml:space="preserve"> can be changed without detriment to the conservation purposes set forth in the grant and hence without diminishment or change to the conse</w:t>
      </w:r>
      <w:r>
        <w:rPr>
          <w:lang w:eastAsia="ja-JP"/>
        </w:rPr>
        <w:t>r</w:t>
      </w:r>
      <w:r>
        <w:rPr>
          <w:lang w:eastAsia="ja-JP"/>
        </w:rPr>
        <w:t>vation easement itself</w:t>
      </w:r>
      <w:r w:rsidRPr="0052154A">
        <w:rPr>
          <w:lang w:eastAsia="ja-JP"/>
        </w:rPr>
        <w:t>.</w:t>
      </w:r>
      <w:r>
        <w:rPr>
          <w:rStyle w:val="FootnoteReference"/>
          <w:lang w:eastAsia="ja-JP"/>
        </w:rPr>
        <w:footnoteReference w:id="22"/>
      </w:r>
    </w:p>
    <w:p w14:paraId="427E6331" w14:textId="77777777" w:rsidR="00147DE0" w:rsidRDefault="00147DE0" w:rsidP="00147DE0">
      <w:pPr>
        <w:pStyle w:val="Heading2"/>
      </w:pPr>
      <w:bookmarkStart w:id="34" w:name="_Toc275788825"/>
      <w:bookmarkStart w:id="35" w:name="_Toc288819810"/>
      <w:r>
        <w:t>Differentiating Amendments That Do or Do Not Raise Enforcement Issues</w:t>
      </w:r>
      <w:bookmarkEnd w:id="34"/>
      <w:bookmarkEnd w:id="35"/>
    </w:p>
    <w:p w14:paraId="05B032D5" w14:textId="77777777" w:rsidR="00147DE0" w:rsidRDefault="00147DE0" w:rsidP="00147DE0">
      <w:pPr>
        <w:pStyle w:val="BodyText"/>
        <w:rPr>
          <w:lang w:eastAsia="ja-JP"/>
        </w:rPr>
      </w:pPr>
      <w:r>
        <w:rPr>
          <w:lang w:eastAsia="ja-JP"/>
        </w:rPr>
        <w:t>An amendment to the grant—the instrument that e</w:t>
      </w:r>
      <w:r>
        <w:rPr>
          <w:lang w:eastAsia="ja-JP"/>
        </w:rPr>
        <w:t>s</w:t>
      </w:r>
      <w:r>
        <w:rPr>
          <w:lang w:eastAsia="ja-JP"/>
        </w:rPr>
        <w:t>tablished the conservation easement—may or may not change the conservation easement. As such, it may or not raise enforcement issues. The central questions in analyzing a potential amendment are:</w:t>
      </w:r>
    </w:p>
    <w:p w14:paraId="539ADBA9" w14:textId="1219B5DE" w:rsidR="00147DE0" w:rsidRDefault="000C654A" w:rsidP="000C654A">
      <w:pPr>
        <w:pStyle w:val="BodyBullet"/>
        <w:numPr>
          <w:ilvl w:val="0"/>
          <w:numId w:val="45"/>
        </w:numPr>
        <w:rPr>
          <w:lang w:eastAsia="ja-JP"/>
        </w:rPr>
      </w:pPr>
      <w:r>
        <w:rPr>
          <w:lang w:eastAsia="ja-JP"/>
        </w:rPr>
        <w:t>W</w:t>
      </w:r>
      <w:r w:rsidR="00147DE0">
        <w:rPr>
          <w:lang w:eastAsia="ja-JP"/>
        </w:rPr>
        <w:t>hether the amendment may be reasonably e</w:t>
      </w:r>
      <w:r w:rsidR="00147DE0">
        <w:rPr>
          <w:lang w:eastAsia="ja-JP"/>
        </w:rPr>
        <w:t>x</w:t>
      </w:r>
      <w:r w:rsidR="00147DE0">
        <w:rPr>
          <w:lang w:eastAsia="ja-JP"/>
        </w:rPr>
        <w:t>pected to materially affect one or more of the key components of the definition of a conserv</w:t>
      </w:r>
      <w:r w:rsidR="00147DE0">
        <w:rPr>
          <w:lang w:eastAsia="ja-JP"/>
        </w:rPr>
        <w:t>a</w:t>
      </w:r>
      <w:r w:rsidR="00147DE0">
        <w:rPr>
          <w:lang w:eastAsia="ja-JP"/>
        </w:rPr>
        <w:t>tion easement; and</w:t>
      </w:r>
    </w:p>
    <w:p w14:paraId="76E9CAC4" w14:textId="15F0354A" w:rsidR="00147DE0" w:rsidRDefault="000C654A" w:rsidP="000C654A">
      <w:pPr>
        <w:pStyle w:val="BodyBullet"/>
        <w:numPr>
          <w:ilvl w:val="0"/>
          <w:numId w:val="45"/>
        </w:numPr>
        <w:rPr>
          <w:lang w:eastAsia="ja-JP"/>
        </w:rPr>
      </w:pPr>
      <w:r>
        <w:rPr>
          <w:lang w:eastAsia="ja-JP"/>
        </w:rPr>
        <w:t>I</w:t>
      </w:r>
      <w:r w:rsidR="00147DE0">
        <w:rPr>
          <w:lang w:eastAsia="ja-JP"/>
        </w:rPr>
        <w:t>f so, whether the effect is adverse to or suppor</w:t>
      </w:r>
      <w:r w:rsidR="00147DE0">
        <w:rPr>
          <w:lang w:eastAsia="ja-JP"/>
        </w:rPr>
        <w:t>t</w:t>
      </w:r>
      <w:r w:rsidR="00147DE0">
        <w:rPr>
          <w:lang w:eastAsia="ja-JP"/>
        </w:rPr>
        <w:t>ive of the conservation objectives.</w:t>
      </w:r>
      <w:r w:rsidR="00147DE0">
        <w:rPr>
          <w:rStyle w:val="FootnoteReference"/>
          <w:lang w:eastAsia="ja-JP"/>
        </w:rPr>
        <w:footnoteReference w:id="23"/>
      </w:r>
      <w:r w:rsidR="00147DE0">
        <w:rPr>
          <w:lang w:eastAsia="ja-JP"/>
        </w:rPr>
        <w:t xml:space="preserve"> The different standards applied to different types of amen</w:t>
      </w:r>
      <w:r w:rsidR="00147DE0">
        <w:rPr>
          <w:lang w:eastAsia="ja-JP"/>
        </w:rPr>
        <w:t>d</w:t>
      </w:r>
      <w:r w:rsidR="00147DE0">
        <w:rPr>
          <w:lang w:eastAsia="ja-JP"/>
        </w:rPr>
        <w:t xml:space="preserve">ments under the </w:t>
      </w:r>
      <w:hyperlink r:id="rId14" w:history="1">
        <w:r w:rsidR="00C54996" w:rsidRPr="00704FC1">
          <w:rPr>
            <w:rStyle w:val="Hyperlink"/>
            <w:bCs/>
            <w:i/>
          </w:rPr>
          <w:t>Model Conservation Easement Amendment Policy</w:t>
        </w:r>
      </w:hyperlink>
      <w:r w:rsidR="00147DE0">
        <w:rPr>
          <w:lang w:eastAsia="ja-JP"/>
        </w:rPr>
        <w:t xml:space="preserve"> are tied to this initial, and very important, determination. A potential amendment that would materially and advers</w:t>
      </w:r>
      <w:r w:rsidR="00147DE0">
        <w:rPr>
          <w:lang w:eastAsia="ja-JP"/>
        </w:rPr>
        <w:t>e</w:t>
      </w:r>
      <w:r w:rsidR="00147DE0">
        <w:rPr>
          <w:lang w:eastAsia="ja-JP"/>
        </w:rPr>
        <w:t>ly affect a conservation easement raises far greater concerns and requires far greater scrut</w:t>
      </w:r>
      <w:r w:rsidR="00147DE0">
        <w:rPr>
          <w:lang w:eastAsia="ja-JP"/>
        </w:rPr>
        <w:t>i</w:t>
      </w:r>
      <w:r w:rsidR="00147DE0">
        <w:rPr>
          <w:lang w:eastAsia="ja-JP"/>
        </w:rPr>
        <w:t>ny than other amendments.</w:t>
      </w:r>
    </w:p>
    <w:p w14:paraId="0214C262" w14:textId="77777777" w:rsidR="00147DE0" w:rsidRDefault="00147DE0" w:rsidP="00147DE0">
      <w:pPr>
        <w:pStyle w:val="Heading3"/>
      </w:pPr>
      <w:bookmarkStart w:id="36" w:name="_Toc275788826"/>
      <w:r>
        <w:t>Does the change affect key components of the def</w:t>
      </w:r>
      <w:r>
        <w:t>i</w:t>
      </w:r>
      <w:r>
        <w:t>nition of a conservation easement?</w:t>
      </w:r>
      <w:bookmarkEnd w:id="36"/>
    </w:p>
    <w:p w14:paraId="7171E2C5" w14:textId="77777777" w:rsidR="00147DE0" w:rsidRDefault="00147DE0" w:rsidP="00147DE0">
      <w:pPr>
        <w:pStyle w:val="BodyText"/>
      </w:pPr>
      <w:r>
        <w:rPr>
          <w:lang w:eastAsia="ja-JP"/>
        </w:rPr>
        <w:t>An amendment to the grant materially and adversely changes a conservation easement if it:</w:t>
      </w:r>
      <w:r w:rsidRPr="00F25750">
        <w:rPr>
          <w:rStyle w:val="FootnoteReference"/>
          <w:lang w:eastAsia="ja-JP"/>
        </w:rPr>
        <w:t xml:space="preserve"> </w:t>
      </w:r>
    </w:p>
    <w:p w14:paraId="3915901D" w14:textId="7FABA751" w:rsidR="00147DE0" w:rsidRDefault="00147DE0" w:rsidP="00147DE0">
      <w:pPr>
        <w:pStyle w:val="BodyBullet"/>
        <w:rPr>
          <w:lang w:eastAsia="ja-JP"/>
        </w:rPr>
      </w:pPr>
      <w:r>
        <w:rPr>
          <w:lang w:eastAsia="ja-JP"/>
        </w:rPr>
        <w:t xml:space="preserve">Inhibits </w:t>
      </w:r>
      <w:r w:rsidR="00A8411C">
        <w:rPr>
          <w:lang w:eastAsia="ja-JP"/>
        </w:rPr>
        <w:t>holder</w:t>
      </w:r>
      <w:r w:rsidR="007C1651">
        <w:rPr>
          <w:lang w:eastAsia="ja-JP"/>
        </w:rPr>
        <w:t>’</w:t>
      </w:r>
      <w:r>
        <w:rPr>
          <w:lang w:eastAsia="ja-JP"/>
        </w:rPr>
        <w:t xml:space="preserve">s </w:t>
      </w:r>
      <w:r w:rsidRPr="005F5362">
        <w:rPr>
          <w:i/>
          <w:lang w:eastAsia="ja-JP"/>
        </w:rPr>
        <w:t>power</w:t>
      </w:r>
      <w:r>
        <w:rPr>
          <w:lang w:eastAsia="ja-JP"/>
        </w:rPr>
        <w:t xml:space="preserve"> to act swiftly and decisiv</w:t>
      </w:r>
      <w:r>
        <w:rPr>
          <w:lang w:eastAsia="ja-JP"/>
        </w:rPr>
        <w:t>e</w:t>
      </w:r>
      <w:r>
        <w:rPr>
          <w:lang w:eastAsia="ja-JP"/>
        </w:rPr>
        <w:t xml:space="preserve">ly </w:t>
      </w:r>
      <w:r w:rsidRPr="005F5362">
        <w:rPr>
          <w:i/>
          <w:lang w:eastAsia="ja-JP"/>
        </w:rPr>
        <w:t>to block activities, uses and improvements inconsistent with conservation objective</w:t>
      </w:r>
      <w:r>
        <w:rPr>
          <w:i/>
          <w:lang w:eastAsia="ja-JP"/>
        </w:rPr>
        <w:t>s</w:t>
      </w:r>
      <w:r>
        <w:rPr>
          <w:lang w:eastAsia="ja-JP"/>
        </w:rPr>
        <w:t xml:space="preserve"> or changes one or more of the </w:t>
      </w:r>
      <w:r w:rsidR="00A8411C">
        <w:rPr>
          <w:lang w:eastAsia="ja-JP"/>
        </w:rPr>
        <w:t>holder</w:t>
      </w:r>
      <w:r>
        <w:rPr>
          <w:lang w:eastAsia="ja-JP"/>
        </w:rPr>
        <w:t xml:space="preserve"> covenants so as to pr</w:t>
      </w:r>
      <w:r>
        <w:rPr>
          <w:lang w:eastAsia="ja-JP"/>
        </w:rPr>
        <w:t>e</w:t>
      </w:r>
      <w:r>
        <w:rPr>
          <w:lang w:eastAsia="ja-JP"/>
        </w:rPr>
        <w:t xml:space="preserve">clude a beneficiary from exercising remedies to preserve the viability of </w:t>
      </w:r>
      <w:r w:rsidR="00A8411C">
        <w:rPr>
          <w:lang w:eastAsia="ja-JP"/>
        </w:rPr>
        <w:t>holder</w:t>
      </w:r>
      <w:r w:rsidR="007C1651">
        <w:rPr>
          <w:lang w:eastAsia="ja-JP"/>
        </w:rPr>
        <w:t>’</w:t>
      </w:r>
      <w:r>
        <w:rPr>
          <w:lang w:eastAsia="ja-JP"/>
        </w:rPr>
        <w:t>s easement power. Examples:</w:t>
      </w:r>
    </w:p>
    <w:p w14:paraId="0B466C59" w14:textId="77777777" w:rsidR="00147DE0" w:rsidRDefault="00147DE0" w:rsidP="00147DE0">
      <w:pPr>
        <w:pStyle w:val="BodyBullet2"/>
        <w:rPr>
          <w:lang w:eastAsia="ja-JP"/>
        </w:rPr>
      </w:pPr>
      <w:r w:rsidRPr="00E04D2A">
        <w:rPr>
          <w:lang w:eastAsia="ja-JP"/>
        </w:rPr>
        <w:t>An amendment that bars entry to the property without the consent of the landowners regar</w:t>
      </w:r>
      <w:r w:rsidRPr="00E04D2A">
        <w:rPr>
          <w:lang w:eastAsia="ja-JP"/>
        </w:rPr>
        <w:t>d</w:t>
      </w:r>
      <w:r w:rsidRPr="00E04D2A">
        <w:rPr>
          <w:lang w:eastAsia="ja-JP"/>
        </w:rPr>
        <w:t>less of exigent circumstances</w:t>
      </w:r>
      <w:r>
        <w:rPr>
          <w:lang w:eastAsia="ja-JP"/>
        </w:rPr>
        <w:t>;</w:t>
      </w:r>
    </w:p>
    <w:p w14:paraId="27B75492" w14:textId="3D873F4F" w:rsidR="00147DE0" w:rsidRDefault="00147DE0" w:rsidP="00147DE0">
      <w:pPr>
        <w:pStyle w:val="BodyBullet2"/>
        <w:rPr>
          <w:lang w:eastAsia="ja-JP"/>
        </w:rPr>
      </w:pPr>
      <w:r w:rsidRPr="00E04D2A">
        <w:rPr>
          <w:lang w:eastAsia="ja-JP"/>
        </w:rPr>
        <w:t xml:space="preserve">An amendment that relieves </w:t>
      </w:r>
      <w:r w:rsidR="00A8411C">
        <w:rPr>
          <w:lang w:eastAsia="ja-JP"/>
        </w:rPr>
        <w:t>holder</w:t>
      </w:r>
      <w:r w:rsidRPr="00E04D2A">
        <w:rPr>
          <w:lang w:eastAsia="ja-JP"/>
        </w:rPr>
        <w:t xml:space="preserve"> of any r</w:t>
      </w:r>
      <w:r w:rsidRPr="00E04D2A">
        <w:rPr>
          <w:lang w:eastAsia="ja-JP"/>
        </w:rPr>
        <w:t>e</w:t>
      </w:r>
      <w:r w:rsidRPr="00E04D2A">
        <w:rPr>
          <w:lang w:eastAsia="ja-JP"/>
        </w:rPr>
        <w:t>sponsibility to enfo</w:t>
      </w:r>
      <w:r>
        <w:rPr>
          <w:lang w:eastAsia="ja-JP"/>
        </w:rPr>
        <w:t>rce the easement in perpetuity;</w:t>
      </w:r>
    </w:p>
    <w:p w14:paraId="3F342E65" w14:textId="77777777" w:rsidR="00147DE0" w:rsidRDefault="00147DE0" w:rsidP="00147DE0">
      <w:pPr>
        <w:pStyle w:val="BodyBullet2"/>
        <w:rPr>
          <w:lang w:eastAsia="ja-JP"/>
        </w:rPr>
      </w:pPr>
      <w:r w:rsidRPr="00E04D2A">
        <w:rPr>
          <w:lang w:eastAsia="ja-JP"/>
        </w:rPr>
        <w:t>An amendment that removes an identified be</w:t>
      </w:r>
      <w:r w:rsidRPr="00E04D2A">
        <w:rPr>
          <w:lang w:eastAsia="ja-JP"/>
        </w:rPr>
        <w:t>n</w:t>
      </w:r>
      <w:r w:rsidRPr="00E04D2A">
        <w:rPr>
          <w:lang w:eastAsia="ja-JP"/>
        </w:rPr>
        <w:t xml:space="preserve">eficiary from the </w:t>
      </w:r>
      <w:r>
        <w:rPr>
          <w:lang w:eastAsia="ja-JP"/>
        </w:rPr>
        <w:t>grant</w:t>
      </w:r>
      <w:r w:rsidRPr="00E04D2A">
        <w:rPr>
          <w:lang w:eastAsia="ja-JP"/>
        </w:rPr>
        <w:t>.</w:t>
      </w:r>
    </w:p>
    <w:p w14:paraId="4FE4ABDC" w14:textId="77777777" w:rsidR="00147DE0" w:rsidRDefault="00147DE0" w:rsidP="00147DE0">
      <w:pPr>
        <w:pStyle w:val="BodyBullet"/>
      </w:pPr>
      <w:r>
        <w:t xml:space="preserve">Materially changes the description of the </w:t>
      </w:r>
      <w:r w:rsidRPr="005F5362">
        <w:rPr>
          <w:i/>
        </w:rPr>
        <w:t>partic</w:t>
      </w:r>
      <w:r w:rsidRPr="005F5362">
        <w:rPr>
          <w:i/>
        </w:rPr>
        <w:t>u</w:t>
      </w:r>
      <w:r w:rsidRPr="005F5362">
        <w:rPr>
          <w:i/>
        </w:rPr>
        <w:t>lar land area defined as the eased property</w:t>
      </w:r>
      <w:r>
        <w:t xml:space="preserve"> such that it releases, or otherwise fails to protect, land mater</w:t>
      </w:r>
      <w:r>
        <w:t>i</w:t>
      </w:r>
      <w:r>
        <w:t>al to the maintenance and attainment of conservation objectives. Example:</w:t>
      </w:r>
    </w:p>
    <w:p w14:paraId="12A20897" w14:textId="77777777" w:rsidR="00147DE0" w:rsidRDefault="00147DE0" w:rsidP="00147DE0">
      <w:pPr>
        <w:pStyle w:val="BodyBullet2"/>
      </w:pPr>
      <w:r w:rsidRPr="00C46EE1">
        <w:t>An amendment that releases eased land in e</w:t>
      </w:r>
      <w:r w:rsidRPr="00C46EE1">
        <w:t>x</w:t>
      </w:r>
      <w:r w:rsidRPr="00C46EE1">
        <w:t xml:space="preserve">change for a </w:t>
      </w:r>
      <w:r>
        <w:t>grant</w:t>
      </w:r>
      <w:r w:rsidRPr="00C46EE1">
        <w:t xml:space="preserve"> of easement on a different parcel changes the easement.</w:t>
      </w:r>
      <w:r>
        <w:rPr>
          <w:rStyle w:val="FootnoteReference"/>
        </w:rPr>
        <w:footnoteReference w:id="24"/>
      </w:r>
    </w:p>
    <w:p w14:paraId="6D305162" w14:textId="77777777" w:rsidR="00147DE0" w:rsidRDefault="00147DE0" w:rsidP="00147DE0">
      <w:pPr>
        <w:pStyle w:val="BodyBullet"/>
      </w:pPr>
      <w:r>
        <w:t xml:space="preserve">Abandons one or more </w:t>
      </w:r>
      <w:r w:rsidRPr="005F5362">
        <w:rPr>
          <w:i/>
        </w:rPr>
        <w:t>conservation objectives</w:t>
      </w:r>
      <w:r>
        <w:rPr>
          <w:rStyle w:val="FootnoteReference"/>
          <w:i/>
        </w:rPr>
        <w:footnoteReference w:id="25"/>
      </w:r>
      <w:r>
        <w:t xml:space="preserve"> of the easement. Example:</w:t>
      </w:r>
    </w:p>
    <w:p w14:paraId="71AF1635" w14:textId="77777777" w:rsidR="00147DE0" w:rsidRDefault="00147DE0" w:rsidP="00147DE0">
      <w:pPr>
        <w:pStyle w:val="BodyBullet2"/>
      </w:pPr>
      <w:r w:rsidRPr="00821DC2">
        <w:t>Elimination of the objective to preserve natural habitat within a woodland (for example, to a</w:t>
      </w:r>
      <w:r w:rsidRPr="00821DC2">
        <w:t>l</w:t>
      </w:r>
      <w:r w:rsidRPr="00821DC2">
        <w:t>low conversion to agricultural land) is material and, if preservation of natural habitat remains feasible, adverse to achievement of conserv</w:t>
      </w:r>
      <w:r w:rsidRPr="00821DC2">
        <w:t>a</w:t>
      </w:r>
      <w:r w:rsidRPr="00821DC2">
        <w:t>tion objectives.</w:t>
      </w:r>
    </w:p>
    <w:p w14:paraId="64F3E7F6" w14:textId="17446FF6" w:rsidR="00147DE0" w:rsidRDefault="00147DE0" w:rsidP="00147DE0">
      <w:pPr>
        <w:pStyle w:val="BodyBullet"/>
      </w:pPr>
      <w:r>
        <w:t>Makes changes to landowner covenants</w:t>
      </w:r>
      <w:r>
        <w:rPr>
          <w:rStyle w:val="FootnoteReference"/>
        </w:rPr>
        <w:footnoteReference w:id="26"/>
      </w:r>
      <w:r>
        <w:t xml:space="preserve"> of the grant that are detrimental to the achievement of the </w:t>
      </w:r>
      <w:r w:rsidRPr="005F5362">
        <w:rPr>
          <w:i/>
        </w:rPr>
        <w:t>conservation objectives</w:t>
      </w:r>
      <w:r>
        <w:t xml:space="preserve">. </w:t>
      </w:r>
      <w:r w:rsidRPr="00821DC2">
        <w:t xml:space="preserve">As discussed in </w:t>
      </w:r>
      <w:hyperlink r:id="rId15" w:history="1">
        <w:r w:rsidR="005022BE" w:rsidRPr="001A44B3">
          <w:rPr>
            <w:rStyle w:val="Hyperlink"/>
            <w:i/>
          </w:rPr>
          <w:t>Nature of the Conservation Easement</w:t>
        </w:r>
      </w:hyperlink>
      <w:r w:rsidRPr="00821DC2">
        <w:t>, the landowner cov</w:t>
      </w:r>
      <w:r w:rsidRPr="00821DC2">
        <w:t>e</w:t>
      </w:r>
      <w:r w:rsidRPr="00821DC2">
        <w:t xml:space="preserve">nants set out the program of land uses that are understood by the </w:t>
      </w:r>
      <w:r>
        <w:t>grant</w:t>
      </w:r>
      <w:r w:rsidRPr="00821DC2">
        <w:t xml:space="preserve">ing landowner and the </w:t>
      </w:r>
      <w:r w:rsidR="00A8411C">
        <w:t>holder</w:t>
      </w:r>
      <w:r w:rsidRPr="00821DC2">
        <w:t xml:space="preserve"> at the time of the </w:t>
      </w:r>
      <w:r>
        <w:t>grant</w:t>
      </w:r>
      <w:r w:rsidRPr="00821DC2">
        <w:t xml:space="preserve"> to be consistent or inconsistent with the conservation purposes of the easement.</w:t>
      </w:r>
      <w:r>
        <w:t xml:space="preserve"> Examples:</w:t>
      </w:r>
    </w:p>
    <w:p w14:paraId="7C16BA2E" w14:textId="69CB2948" w:rsidR="00147DE0" w:rsidRDefault="00147DE0" w:rsidP="00147DE0">
      <w:pPr>
        <w:pStyle w:val="BodyBullet2"/>
      </w:pPr>
      <w:r w:rsidRPr="00821DC2">
        <w:t xml:space="preserve">An amendment that permits subdivision and residential development on five-acre lots is a material diminution of </w:t>
      </w:r>
      <w:r w:rsidR="00A8411C">
        <w:t>holder</w:t>
      </w:r>
      <w:r w:rsidR="007C1651">
        <w:t>’</w:t>
      </w:r>
      <w:r w:rsidRPr="00821DC2">
        <w:t xml:space="preserve">s power to block land uses inconsistent with </w:t>
      </w:r>
      <w:r>
        <w:t>the conservation o</w:t>
      </w:r>
      <w:r>
        <w:t>b</w:t>
      </w:r>
      <w:r>
        <w:t xml:space="preserve">jective of protecting </w:t>
      </w:r>
      <w:r w:rsidRPr="00821DC2">
        <w:t xml:space="preserve">scenic views of undeveloped fields and meadows. On the other hand, an amendment does not affect </w:t>
      </w:r>
      <w:r w:rsidR="00A8411C">
        <w:t>holder</w:t>
      </w:r>
      <w:r w:rsidR="007C1651">
        <w:t>’</w:t>
      </w:r>
      <w:r w:rsidRPr="00821DC2">
        <w:t>s power to block inconsistent land uses if the change is to move a building envelope from one site agreed to be consistent with conservation objectives to another site consistent with the same objectives.</w:t>
      </w:r>
    </w:p>
    <w:p w14:paraId="0EF1738B" w14:textId="77777777" w:rsidR="00147DE0" w:rsidRPr="00821DC2" w:rsidRDefault="00147DE0" w:rsidP="00147DE0">
      <w:pPr>
        <w:pStyle w:val="BodyBullet2"/>
      </w:pPr>
      <w:r>
        <w:t>Regarding a conservation easement with the conservation objective of preserving natural woodland habitat, an amendment that would allow for intensified logging operations</w:t>
      </w:r>
      <w:r w:rsidRPr="00821DC2">
        <w:t xml:space="preserve"> </w:t>
      </w:r>
      <w:r>
        <w:t>regar</w:t>
      </w:r>
      <w:r>
        <w:t>d</w:t>
      </w:r>
      <w:r>
        <w:t>less of impact on the habitat is detrimental to the achievement of the conservation objective</w:t>
      </w:r>
      <w:r w:rsidRPr="00821DC2">
        <w:t>.</w:t>
      </w:r>
      <w:r>
        <w:t xml:space="preserve"> On the other hand, replacing the</w:t>
      </w:r>
      <w:r w:rsidRPr="00821DC2">
        <w:t xml:space="preserve"> forestry pr</w:t>
      </w:r>
      <w:r>
        <w:t>a</w:t>
      </w:r>
      <w:r>
        <w:t>c</w:t>
      </w:r>
      <w:r>
        <w:t>tices stipulated in the grant with</w:t>
      </w:r>
      <w:r w:rsidRPr="00821DC2">
        <w:t xml:space="preserve"> management practices </w:t>
      </w:r>
      <w:r>
        <w:t>newly identified for optimal preserv</w:t>
      </w:r>
      <w:r>
        <w:t>a</w:t>
      </w:r>
      <w:r>
        <w:t xml:space="preserve">tion of natural woodland habitat and </w:t>
      </w:r>
      <w:r w:rsidRPr="00821DC2">
        <w:t>endorsed by reputable conservation professionals</w:t>
      </w:r>
      <w:r>
        <w:t xml:space="preserve"> may be of no detriment to the conservation objectives</w:t>
      </w:r>
      <w:r w:rsidRPr="00821DC2">
        <w:t xml:space="preserve">. </w:t>
      </w:r>
    </w:p>
    <w:p w14:paraId="5FEA66A6" w14:textId="77777777" w:rsidR="00147DE0" w:rsidRDefault="00147DE0" w:rsidP="00147DE0">
      <w:pPr>
        <w:pStyle w:val="Heading3"/>
      </w:pPr>
      <w:bookmarkStart w:id="37" w:name="_Toc275788827"/>
      <w:r>
        <w:t>Is the effect adverse to or supportive of conserv</w:t>
      </w:r>
      <w:r>
        <w:t>a</w:t>
      </w:r>
      <w:r>
        <w:t>tion objectives?</w:t>
      </w:r>
      <w:bookmarkEnd w:id="37"/>
    </w:p>
    <w:p w14:paraId="3E70CF43" w14:textId="1D8944DC" w:rsidR="00147DE0" w:rsidRDefault="00147DE0" w:rsidP="00147DE0">
      <w:pPr>
        <w:pStyle w:val="BodyText"/>
        <w:rPr>
          <w:lang w:eastAsia="ja-JP"/>
        </w:rPr>
      </w:pPr>
      <w:r>
        <w:rPr>
          <w:lang w:eastAsia="ja-JP"/>
        </w:rPr>
        <w:t>If there is a change that affects a key component of the nature of a conservation easement, the change may or may not be detrimental to the long-term viability of the conservation easement as a tool to protect natural and scenic resources. This inquiry requires the exe</w:t>
      </w:r>
      <w:r>
        <w:rPr>
          <w:lang w:eastAsia="ja-JP"/>
        </w:rPr>
        <w:t>r</w:t>
      </w:r>
      <w:r>
        <w:rPr>
          <w:lang w:eastAsia="ja-JP"/>
        </w:rPr>
        <w:t xml:space="preserve">cise of the good judgment of the </w:t>
      </w:r>
      <w:r w:rsidR="00A8411C">
        <w:rPr>
          <w:lang w:eastAsia="ja-JP"/>
        </w:rPr>
        <w:t>holder</w:t>
      </w:r>
      <w:r w:rsidR="007C1651">
        <w:rPr>
          <w:lang w:eastAsia="ja-JP"/>
        </w:rPr>
        <w:t>’</w:t>
      </w:r>
      <w:r>
        <w:rPr>
          <w:lang w:eastAsia="ja-JP"/>
        </w:rPr>
        <w:t>s board after considering the facts and circumstances of the partic</w:t>
      </w:r>
      <w:r>
        <w:rPr>
          <w:lang w:eastAsia="ja-JP"/>
        </w:rPr>
        <w:t>u</w:t>
      </w:r>
      <w:r>
        <w:rPr>
          <w:lang w:eastAsia="ja-JP"/>
        </w:rPr>
        <w:t>lar proposed change.</w:t>
      </w:r>
    </w:p>
    <w:p w14:paraId="30A1498F" w14:textId="77777777" w:rsidR="000C654A" w:rsidRDefault="000C654A" w:rsidP="000C654A">
      <w:pPr>
        <w:pStyle w:val="Heading1"/>
      </w:pPr>
      <w:bookmarkStart w:id="38" w:name="_Toc275788828"/>
      <w:bookmarkStart w:id="39" w:name="_Toc288819811"/>
      <w:r>
        <w:t>Responsibilities for Amendment Decisions</w:t>
      </w:r>
      <w:bookmarkEnd w:id="38"/>
      <w:bookmarkEnd w:id="39"/>
    </w:p>
    <w:p w14:paraId="368FB9E8" w14:textId="77777777" w:rsidR="000C654A" w:rsidRPr="000C654A" w:rsidRDefault="000C654A" w:rsidP="000C654A">
      <w:pPr>
        <w:rPr>
          <w:sz w:val="8"/>
          <w:szCs w:val="8"/>
        </w:rPr>
      </w:pPr>
    </w:p>
    <w:p w14:paraId="06533D08" w14:textId="29DFE931" w:rsidR="000C654A" w:rsidRDefault="000C654A" w:rsidP="000C654A">
      <w:pPr>
        <w:pStyle w:val="Heading2"/>
      </w:pPr>
      <w:bookmarkStart w:id="40" w:name="_Toc275788829"/>
      <w:bookmarkStart w:id="41" w:name="_Toc288819812"/>
      <w:r>
        <w:t xml:space="preserve">Duty </w:t>
      </w:r>
      <w:r w:rsidR="00A82ADC">
        <w:t xml:space="preserve">to Manage </w:t>
      </w:r>
      <w:r>
        <w:t>Charitable Assets Responsibly</w:t>
      </w:r>
      <w:bookmarkEnd w:id="40"/>
      <w:bookmarkEnd w:id="41"/>
    </w:p>
    <w:p w14:paraId="42591873" w14:textId="2DF28EB1" w:rsidR="000C654A" w:rsidRDefault="000C654A" w:rsidP="000C654A">
      <w:r>
        <w:t>Charitable organizations are required to manage their assets so that they are used for charitable purposes and not squandered, wasted or dissipated.</w:t>
      </w:r>
      <w:r>
        <w:rPr>
          <w:rStyle w:val="FootnoteReference"/>
        </w:rPr>
        <w:footnoteReference w:id="27"/>
      </w:r>
      <w:r>
        <w:t xml:space="preserve"> The A</w:t>
      </w:r>
      <w:r>
        <w:t>t</w:t>
      </w:r>
      <w:r>
        <w:t>torney General has the right, and duty, to protect the interest of the public in the assets of a charity.</w:t>
      </w:r>
      <w:r>
        <w:rPr>
          <w:rStyle w:val="FootnoteReference"/>
        </w:rPr>
        <w:footnoteReference w:id="28"/>
      </w:r>
      <w:r>
        <w:t xml:space="preserve"> These standards apply to all charitable assets including co</w:t>
      </w:r>
      <w:r>
        <w:t>n</w:t>
      </w:r>
      <w:r>
        <w:t xml:space="preserve">servation easements. </w:t>
      </w:r>
      <w:hyperlink r:id="rId16" w:history="1">
        <w:r w:rsidR="005022BE" w:rsidRPr="001A44B3">
          <w:rPr>
            <w:rStyle w:val="Hyperlink"/>
            <w:i/>
          </w:rPr>
          <w:t>Nature of the Conservation Easement</w:t>
        </w:r>
      </w:hyperlink>
      <w:r w:rsidR="005022BE" w:rsidRPr="005022BE">
        <w:t xml:space="preserve"> </w:t>
      </w:r>
      <w:r>
        <w:t>provides examples of how an irresponsible amendment decision may violate one or more of the standards and be subject to an enforcement action by the Attorney General.</w:t>
      </w:r>
    </w:p>
    <w:p w14:paraId="6F0BC49F" w14:textId="77777777" w:rsidR="000C654A" w:rsidRDefault="000C654A" w:rsidP="000C654A">
      <w:pPr>
        <w:pStyle w:val="Heading2"/>
      </w:pPr>
      <w:bookmarkStart w:id="42" w:name="_Toc275788830"/>
      <w:bookmarkStart w:id="43" w:name="_Toc288819813"/>
      <w:r>
        <w:t>Board Generally Must Approve</w:t>
      </w:r>
      <w:bookmarkEnd w:id="42"/>
      <w:bookmarkEnd w:id="43"/>
    </w:p>
    <w:p w14:paraId="31830797" w14:textId="614014D5" w:rsidR="000C654A" w:rsidRDefault="000C654A" w:rsidP="000C654A">
      <w:pPr>
        <w:pStyle w:val="BodyText"/>
      </w:pPr>
      <w:r>
        <w:t>Conservation easements are interests in real property. As such, modifications of grants of conservation easement held by land trusts are real property transa</w:t>
      </w:r>
      <w:r>
        <w:t>c</w:t>
      </w:r>
      <w:r>
        <w:t xml:space="preserve">tions subject to Title 15 §5546 </w:t>
      </w:r>
      <w:r w:rsidR="007C1651">
        <w:t>“</w:t>
      </w:r>
      <w:r>
        <w:t>Purchase, sale, mortgage and lease of real property</w:t>
      </w:r>
      <w:r w:rsidR="007C1651">
        <w:t>”</w:t>
      </w:r>
      <w:r>
        <w:t xml:space="preserve"> of the Pennsy</w:t>
      </w:r>
      <w:r>
        <w:t>l</w:t>
      </w:r>
      <w:r>
        <w:t>vania Consolidated Statutes. This law provides that real estate transactions are governed by the bylaws of the corporation just like any other transaction. As a general rule, any transaction outside the ordinary course of business of the organization must be brought before the board for approval. An amen</w:t>
      </w:r>
      <w:r>
        <w:t>d</w:t>
      </w:r>
      <w:r>
        <w:t>ment would fall into this category in most circumstances.</w:t>
      </w:r>
      <w:r>
        <w:rPr>
          <w:rStyle w:val="FootnoteReference"/>
        </w:rPr>
        <w:footnoteReference w:id="29"/>
      </w:r>
    </w:p>
    <w:p w14:paraId="0AC70134" w14:textId="77777777" w:rsidR="000C654A" w:rsidRDefault="000C654A" w:rsidP="000C654A">
      <w:pPr>
        <w:pStyle w:val="Heading2"/>
      </w:pPr>
      <w:bookmarkStart w:id="44" w:name="_Toc275788831"/>
      <w:bookmarkStart w:id="45" w:name="_Toc288819814"/>
      <w:r w:rsidRPr="008E6FFA">
        <w:t xml:space="preserve">Fiduciary Duty </w:t>
      </w:r>
      <w:r>
        <w:t xml:space="preserve">of Directors </w:t>
      </w:r>
      <w:r w:rsidRPr="008E6FFA">
        <w:t>to Make a Business Judgment in Good Faith</w:t>
      </w:r>
      <w:bookmarkEnd w:id="44"/>
      <w:bookmarkEnd w:id="45"/>
    </w:p>
    <w:p w14:paraId="0F85D719" w14:textId="3E5EDDA5" w:rsidR="000C654A" w:rsidRDefault="000C654A" w:rsidP="000C654A">
      <w:r>
        <w:t>When a proposed amendment is submitted to the board as an action item, the directors have the duty to consider and respond to it in compliance with the standard of care required of all corporate directors</w:t>
      </w:r>
      <w:r>
        <w:rPr>
          <w:rStyle w:val="FootnoteReference"/>
        </w:rPr>
        <w:footnoteReference w:id="30"/>
      </w:r>
      <w:r>
        <w:t xml:space="preserve">. The standard of care required of directors is the </w:t>
      </w:r>
      <w:r w:rsidRPr="00D11450">
        <w:t>fid</w:t>
      </w:r>
      <w:r w:rsidRPr="00D11450">
        <w:t>u</w:t>
      </w:r>
      <w:r w:rsidRPr="00D11450">
        <w:t xml:space="preserve">ciary obligation to the </w:t>
      </w:r>
      <w:r w:rsidR="00A8411C">
        <w:t>holder</w:t>
      </w:r>
      <w:r w:rsidRPr="00D11450">
        <w:t xml:space="preserve"> to make a business judgment in good faith</w:t>
      </w:r>
      <w:r>
        <w:t>.</w:t>
      </w:r>
      <w:r>
        <w:rPr>
          <w:rStyle w:val="FootnoteReference"/>
        </w:rPr>
        <w:footnoteReference w:id="31"/>
      </w:r>
    </w:p>
    <w:p w14:paraId="1C999E32" w14:textId="77777777" w:rsidR="000C654A" w:rsidRPr="001556EE" w:rsidRDefault="000C654A" w:rsidP="000C654A">
      <w:pPr>
        <w:pStyle w:val="Heading3"/>
      </w:pPr>
      <w:bookmarkStart w:id="46" w:name="_Toc275788832"/>
      <w:r>
        <w:t>Duty of individual d</w:t>
      </w:r>
      <w:r w:rsidRPr="001556EE">
        <w:t>irectors</w:t>
      </w:r>
      <w:bookmarkEnd w:id="46"/>
    </w:p>
    <w:p w14:paraId="4C569BE9" w14:textId="77777777" w:rsidR="000C654A" w:rsidRDefault="000C654A" w:rsidP="000C654A">
      <w:pPr>
        <w:pStyle w:val="BodyText"/>
      </w:pPr>
      <w:r>
        <w:t>The board, acting as a whole, governs the organization but this rule applies to each director individually. Those who serve as directors are personally bound to exercise their own good faith business judgment in casting their vote to approve or reject a proposed amendment.</w:t>
      </w:r>
    </w:p>
    <w:p w14:paraId="31A818E1" w14:textId="6DEC117C" w:rsidR="000C654A" w:rsidRDefault="000C654A" w:rsidP="000C654A">
      <w:pPr>
        <w:pStyle w:val="Heading3"/>
      </w:pPr>
      <w:bookmarkStart w:id="47" w:name="_Toc275788833"/>
      <w:r>
        <w:t xml:space="preserve">Highest standard of faithfulness to the </w:t>
      </w:r>
      <w:r w:rsidR="00A8411C">
        <w:t>holder</w:t>
      </w:r>
      <w:bookmarkEnd w:id="47"/>
    </w:p>
    <w:p w14:paraId="18CF4469" w14:textId="2585FF55" w:rsidR="000C654A" w:rsidRDefault="000C654A" w:rsidP="000C654A">
      <w:pPr>
        <w:pStyle w:val="BodyText"/>
      </w:pPr>
      <w:r>
        <w:t xml:space="preserve">The duty of a director is as a fiduciary—someone who must always put the interests of the </w:t>
      </w:r>
      <w:r w:rsidR="00A8411C">
        <w:t>holder</w:t>
      </w:r>
      <w:r>
        <w:t xml:space="preserve"> above any other concern. Policies directed at preventing conflicts of interest help to define situations that may be war</w:t>
      </w:r>
      <w:r>
        <w:t>n</w:t>
      </w:r>
      <w:r>
        <w:t xml:space="preserve">ing signs of the possibility that a director may, purposely or inadvertently, breach this duty. Several legal rules discussed later in the guide are targeted at preventing directors from benefiting themselves or other private interests rather than the public interest that the </w:t>
      </w:r>
      <w:r w:rsidR="00A8411C">
        <w:t>holder</w:t>
      </w:r>
      <w:r>
        <w:t xml:space="preserve"> was created to serve. The overarching principle is that directors may consider a number of views but, in the last analysis, they must act for the good of the </w:t>
      </w:r>
      <w:r w:rsidR="00A8411C">
        <w:t>holder</w:t>
      </w:r>
      <w:r>
        <w:t xml:space="preserve"> and no one else.</w:t>
      </w:r>
    </w:p>
    <w:p w14:paraId="62802D5C" w14:textId="010E90E9" w:rsidR="000C654A" w:rsidRDefault="000C654A" w:rsidP="000C654A">
      <w:pPr>
        <w:pStyle w:val="BlockText"/>
      </w:pPr>
      <w:r>
        <w:rPr>
          <w:i/>
        </w:rPr>
        <w:t>Example.</w:t>
      </w:r>
      <w:r>
        <w:t xml:space="preserve"> In the course of debating an amendment, a director observes that it does not conform </w:t>
      </w:r>
      <w:proofErr w:type="gramStart"/>
      <w:r>
        <w:t>with</w:t>
      </w:r>
      <w:proofErr w:type="gramEnd"/>
      <w:r>
        <w:t xml:space="preserve"> voluntary standards established by a third party (for example, </w:t>
      </w:r>
      <w:r w:rsidRPr="005F7457">
        <w:rPr>
          <w:i/>
        </w:rPr>
        <w:t>Standards for Excellence</w:t>
      </w:r>
      <w:r>
        <w:t xml:space="preserve"> managed by the Pennsylvania Association for Nonprofit O</w:t>
      </w:r>
      <w:r>
        <w:t>r</w:t>
      </w:r>
      <w:r>
        <w:t xml:space="preserve">ganizations, </w:t>
      </w:r>
      <w:r w:rsidRPr="005F7457">
        <w:rPr>
          <w:i/>
        </w:rPr>
        <w:t>Land Trust Standards and Practices</w:t>
      </w:r>
      <w:r>
        <w:t xml:space="preserve"> published by the Land Trust Alliance or rules e</w:t>
      </w:r>
      <w:r>
        <w:t>s</w:t>
      </w:r>
      <w:r>
        <w:t xml:space="preserve">tablished by the Land Trust Accreditation Commission). The directors </w:t>
      </w:r>
      <w:r w:rsidRPr="005F7457">
        <w:rPr>
          <w:i/>
        </w:rPr>
        <w:t>can and should consider this information</w:t>
      </w:r>
      <w:r>
        <w:t xml:space="preserve"> (and possible repercussions) in their deliberations about what action the </w:t>
      </w:r>
      <w:r w:rsidR="00A8411C">
        <w:t>holder</w:t>
      </w:r>
      <w:r>
        <w:t xml:space="preserve"> should take but, if their judgment is that the amendment is in the best interests of the </w:t>
      </w:r>
      <w:r w:rsidR="00A8411C">
        <w:t>holder</w:t>
      </w:r>
      <w:r>
        <w:t xml:space="preserve"> given the entirety of the facts and circumstances, </w:t>
      </w:r>
      <w:r w:rsidRPr="005F7457">
        <w:rPr>
          <w:i/>
        </w:rPr>
        <w:t xml:space="preserve">their fiduciary duty to the </w:t>
      </w:r>
      <w:r w:rsidR="00A8411C">
        <w:rPr>
          <w:i/>
        </w:rPr>
        <w:t>holder</w:t>
      </w:r>
      <w:r w:rsidRPr="005F7457">
        <w:rPr>
          <w:i/>
        </w:rPr>
        <w:t xml:space="preserve"> must prevail over the voluntary third party standard</w:t>
      </w:r>
      <w:r>
        <w:t>. Again, this is not to say that a third party standard can</w:t>
      </w:r>
      <w:r w:rsidR="007C1651">
        <w:t>’</w:t>
      </w:r>
      <w:r>
        <w:t>t be taken into account in the analysis and deliberation, only that it must not supersede the judgment of a director and, collectively, the decision of a board.</w:t>
      </w:r>
    </w:p>
    <w:p w14:paraId="6A590B9E" w14:textId="77777777" w:rsidR="000C654A" w:rsidRDefault="000C654A" w:rsidP="000C654A">
      <w:pPr>
        <w:pStyle w:val="Heading3"/>
      </w:pPr>
      <w:bookmarkStart w:id="48" w:name="_Toc275788834"/>
      <w:r>
        <w:t>Duty to be informed</w:t>
      </w:r>
      <w:bookmarkEnd w:id="48"/>
    </w:p>
    <w:p w14:paraId="751FAD7F" w14:textId="1880C28F" w:rsidR="000C654A" w:rsidRDefault="000C654A" w:rsidP="000C654A">
      <w:pPr>
        <w:pStyle w:val="BodyText"/>
      </w:pPr>
      <w:r>
        <w:t xml:space="preserve">The law requires that the director be informed with respect to the subject of the business judgment to the extent he or she reasonably believes to be appropriate under the circumstances. The </w:t>
      </w:r>
      <w:hyperlink r:id="rId17" w:history="1">
        <w:r w:rsidR="00C54996" w:rsidRPr="00704FC1">
          <w:rPr>
            <w:rStyle w:val="Hyperlink"/>
            <w:bCs/>
            <w:i/>
          </w:rPr>
          <w:t>Model Conservation Easement Amendment Policy</w:t>
        </w:r>
      </w:hyperlink>
      <w:r>
        <w:t xml:space="preserve"> furnishes guidance as to the scope of inquiry and information gathering nee</w:t>
      </w:r>
      <w:r>
        <w:t>d</w:t>
      </w:r>
      <w:r>
        <w:t>ed to inform the directors of the facts and circumstances underlying each proposed amendment brought to the board for action.</w:t>
      </w:r>
    </w:p>
    <w:p w14:paraId="5B4FE010" w14:textId="77777777" w:rsidR="000C654A" w:rsidRDefault="000C654A" w:rsidP="000C654A">
      <w:pPr>
        <w:pStyle w:val="Heading3"/>
      </w:pPr>
      <w:bookmarkStart w:id="49" w:name="_Toc275788835"/>
      <w:r>
        <w:t>Duty to act in best interest of charity in furtherance of its charitable mission</w:t>
      </w:r>
      <w:bookmarkEnd w:id="49"/>
    </w:p>
    <w:p w14:paraId="2253BAA1" w14:textId="12B06001" w:rsidR="000C654A" w:rsidRDefault="000C654A" w:rsidP="000C654A">
      <w:pPr>
        <w:pStyle w:val="BodyText"/>
      </w:pPr>
      <w:r>
        <w:t xml:space="preserve">The requirement to act not only in the best interest of the organization </w:t>
      </w:r>
      <w:proofErr w:type="gramStart"/>
      <w:r>
        <w:t>but</w:t>
      </w:r>
      <w:proofErr w:type="gramEnd"/>
      <w:r>
        <w:t xml:space="preserve"> in furtherance of its mission is what distinguishes the business judgment required of a director of a charitable organization from that of a for-profit corporation. In the case of the easement </w:t>
      </w:r>
      <w:r w:rsidR="00A8411C">
        <w:t>holder</w:t>
      </w:r>
      <w:r>
        <w:t xml:space="preserve"> deciding an amendment issue, the directors must act to advance the land trust</w:t>
      </w:r>
      <w:r w:rsidR="007C1651">
        <w:t>’</w:t>
      </w:r>
      <w:r>
        <w:t>s charitable mission to conserve natural and scenic resources.</w:t>
      </w:r>
    </w:p>
    <w:p w14:paraId="012B6CC9" w14:textId="5CF0A788" w:rsidR="000C654A" w:rsidRDefault="000C654A" w:rsidP="000C654A">
      <w:pPr>
        <w:pStyle w:val="BlockText"/>
      </w:pPr>
      <w:r>
        <w:rPr>
          <w:i/>
        </w:rPr>
        <w:t xml:space="preserve">Example. </w:t>
      </w:r>
      <w:r>
        <w:t xml:space="preserve">Developer offers, in exchange for eased property, a substitute conservation easement on another property, which has far more significant natural and scenic resources than the </w:t>
      </w:r>
      <w:r w:rsidR="00897402">
        <w:t>eased pro</w:t>
      </w:r>
      <w:r w:rsidR="00897402">
        <w:t>p</w:t>
      </w:r>
      <w:r w:rsidR="00897402">
        <w:t>erty</w:t>
      </w:r>
      <w:r>
        <w:t xml:space="preserve">. The offer furnishes the </w:t>
      </w:r>
      <w:r w:rsidR="00A8411C">
        <w:t>holder</w:t>
      </w:r>
      <w:r>
        <w:t xml:space="preserve"> with the opportunity to do other, more significant projects, as well as conserve natural and scenic resources of greater value. Using the director</w:t>
      </w:r>
      <w:r w:rsidR="007C1651">
        <w:t>’</w:t>
      </w:r>
      <w:r>
        <w:t>s business judgment, the proposal is reasonable and even advantageous. But the director of a charitable o</w:t>
      </w:r>
      <w:r>
        <w:t>r</w:t>
      </w:r>
      <w:r>
        <w:t xml:space="preserve">ganization must go one step further: is the proposal in the best interests of the </w:t>
      </w:r>
      <w:r w:rsidR="00A8411C">
        <w:t>holder</w:t>
      </w:r>
      <w:r>
        <w:t xml:space="preserve"> in light of its charitable purposes to protect natural and scenic resources? Is the proposal consistent with the charitable purpose of the </w:t>
      </w:r>
      <w:r w:rsidR="00A8411C">
        <w:t>holder</w:t>
      </w:r>
      <w:r>
        <w:t xml:space="preserve"> if it denies protection to an eased property? This is a difficult question but one thing is </w:t>
      </w:r>
      <w:r w:rsidR="00046629">
        <w:t xml:space="preserve">clear—a </w:t>
      </w:r>
      <w:r>
        <w:t>proposal mee</w:t>
      </w:r>
      <w:r>
        <w:t>t</w:t>
      </w:r>
      <w:r>
        <w:t>ing the business judgment standard may not be consistent with the charitable organization stan</w:t>
      </w:r>
      <w:r>
        <w:t>d</w:t>
      </w:r>
      <w:r>
        <w:t>ard.</w:t>
      </w:r>
    </w:p>
    <w:p w14:paraId="79F91AA1" w14:textId="77777777" w:rsidR="000C654A" w:rsidRDefault="000C654A" w:rsidP="000C654A">
      <w:pPr>
        <w:pStyle w:val="Heading3"/>
      </w:pPr>
      <w:bookmarkStart w:id="50" w:name="_Toc275788836"/>
      <w:r>
        <w:t>Directors are in best position to make amendment decisions</w:t>
      </w:r>
      <w:bookmarkEnd w:id="50"/>
    </w:p>
    <w:p w14:paraId="647F9ADB" w14:textId="7B0326DC" w:rsidR="000C654A" w:rsidRDefault="000C654A" w:rsidP="000C654A">
      <w:pPr>
        <w:pStyle w:val="BodyText"/>
        <w:rPr>
          <w:lang w:eastAsia="ja-JP"/>
        </w:rPr>
      </w:pPr>
      <w:r>
        <w:rPr>
          <w:lang w:eastAsia="ja-JP"/>
        </w:rPr>
        <w:t xml:space="preserve">Both law and custom in Pennsylvania support the principle that the directors are in the best position to make decisions for the </w:t>
      </w:r>
      <w:r w:rsidR="00A8411C">
        <w:rPr>
          <w:lang w:eastAsia="ja-JP"/>
        </w:rPr>
        <w:t>holder</w:t>
      </w:r>
      <w:r>
        <w:rPr>
          <w:lang w:eastAsia="ja-JP"/>
        </w:rPr>
        <w:t xml:space="preserve">—including amendment decisions. Directors are individually held to a high standard of faithfulness to make responsible, well-informed, reasonable decisions on all matters affecting the </w:t>
      </w:r>
      <w:r w:rsidR="00A8411C">
        <w:rPr>
          <w:lang w:eastAsia="ja-JP"/>
        </w:rPr>
        <w:t>holder</w:t>
      </w:r>
      <w:r>
        <w:rPr>
          <w:lang w:eastAsia="ja-JP"/>
        </w:rPr>
        <w:t>, including amendment decisions.</w:t>
      </w:r>
    </w:p>
    <w:p w14:paraId="0E64BF6B" w14:textId="6F9700A1" w:rsidR="000C654A" w:rsidRDefault="000C654A" w:rsidP="000C654A">
      <w:pPr>
        <w:pStyle w:val="Heading1"/>
      </w:pPr>
      <w:bookmarkStart w:id="51" w:name="_Toc275788837"/>
      <w:bookmarkStart w:id="52" w:name="_Toc288819815"/>
      <w:r>
        <w:t xml:space="preserve">Risks to </w:t>
      </w:r>
      <w:r w:rsidR="00A8411C">
        <w:t>Holder</w:t>
      </w:r>
      <w:r w:rsidR="007C1651">
        <w:t>’</w:t>
      </w:r>
      <w:r>
        <w:t>s Status as a Qualified Organization under IRC Charitable Gift Rules</w:t>
      </w:r>
      <w:bookmarkEnd w:id="51"/>
      <w:bookmarkEnd w:id="52"/>
    </w:p>
    <w:p w14:paraId="4A102903" w14:textId="77777777" w:rsidR="000C654A" w:rsidRDefault="000C654A" w:rsidP="000C654A">
      <w:pPr>
        <w:pStyle w:val="BodyText"/>
      </w:pPr>
      <w:r>
        <w:t>Donations of conservation easements only qualify as charitable donations under the IRC charitable gift rules if they are donated to a qualified organization. A qualified organization is a tax-exempt charity or go</w:t>
      </w:r>
      <w:r>
        <w:t>v</w:t>
      </w:r>
      <w:r>
        <w:t>ernmental entity that: first, has the commitment to protect the conservation purposes of the donation; and, second, has the resources to enforce the conserv</w:t>
      </w:r>
      <w:r>
        <w:t>a</w:t>
      </w:r>
      <w:r>
        <w:t>tion restrictions.</w:t>
      </w:r>
      <w:r>
        <w:rPr>
          <w:rStyle w:val="FootnoteReference"/>
        </w:rPr>
        <w:footnoteReference w:id="32"/>
      </w:r>
    </w:p>
    <w:p w14:paraId="69023A52" w14:textId="30945E66" w:rsidR="000C654A" w:rsidRDefault="000C654A" w:rsidP="000C654A">
      <w:pPr>
        <w:pStyle w:val="Heading2"/>
      </w:pPr>
      <w:bookmarkStart w:id="53" w:name="_Toc275788838"/>
      <w:bookmarkStart w:id="54" w:name="_Toc288819816"/>
      <w:r>
        <w:t>Commitment to Protect</w:t>
      </w:r>
      <w:bookmarkEnd w:id="53"/>
      <w:bookmarkEnd w:id="54"/>
    </w:p>
    <w:p w14:paraId="15843AA7" w14:textId="1B9797C0" w:rsidR="000C654A" w:rsidRDefault="00A8411C" w:rsidP="000C654A">
      <w:pPr>
        <w:rPr>
          <w:lang w:eastAsia="ja-JP"/>
        </w:rPr>
      </w:pPr>
      <w:r>
        <w:rPr>
          <w:lang w:eastAsia="ja-JP"/>
        </w:rPr>
        <w:t>Holder</w:t>
      </w:r>
      <w:r w:rsidR="007C1651">
        <w:rPr>
          <w:lang w:eastAsia="ja-JP"/>
        </w:rPr>
        <w:t>’</w:t>
      </w:r>
      <w:r w:rsidR="000C654A">
        <w:rPr>
          <w:lang w:eastAsia="ja-JP"/>
        </w:rPr>
        <w:t xml:space="preserve">s commitment to protect the conservation purposes of the donation is demonstrated in any number of ways, some of which may have bearing on </w:t>
      </w:r>
      <w:r>
        <w:rPr>
          <w:lang w:eastAsia="ja-JP"/>
        </w:rPr>
        <w:t>holder</w:t>
      </w:r>
      <w:r w:rsidR="007C1651">
        <w:rPr>
          <w:lang w:eastAsia="ja-JP"/>
        </w:rPr>
        <w:t>’</w:t>
      </w:r>
      <w:r w:rsidR="000C654A">
        <w:rPr>
          <w:lang w:eastAsia="ja-JP"/>
        </w:rPr>
        <w:t xml:space="preserve">s easement amendment decisions. There is no particular formula required under the IRC charitable gift rules. Listed below are items that may support a finding that the </w:t>
      </w:r>
      <w:r>
        <w:rPr>
          <w:lang w:eastAsia="ja-JP"/>
        </w:rPr>
        <w:t>holder</w:t>
      </w:r>
      <w:r w:rsidR="000C654A">
        <w:rPr>
          <w:lang w:eastAsia="ja-JP"/>
        </w:rPr>
        <w:t xml:space="preserve"> meets the first prong of the qualified organization test. </w:t>
      </w:r>
    </w:p>
    <w:p w14:paraId="0CCACA80" w14:textId="5E8EA763" w:rsidR="000C654A" w:rsidRDefault="000C654A" w:rsidP="000C654A">
      <w:pPr>
        <w:pStyle w:val="BodyBullet"/>
        <w:rPr>
          <w:lang w:eastAsia="ja-JP"/>
        </w:rPr>
      </w:pPr>
      <w:r>
        <w:rPr>
          <w:lang w:eastAsia="ja-JP"/>
        </w:rPr>
        <w:t xml:space="preserve">The statement of corporate purposes set forth in the Articles of Incorporation forming the </w:t>
      </w:r>
      <w:r w:rsidR="00A8411C">
        <w:rPr>
          <w:lang w:eastAsia="ja-JP"/>
        </w:rPr>
        <w:t>holder</w:t>
      </w:r>
      <w:r>
        <w:rPr>
          <w:lang w:eastAsia="ja-JP"/>
        </w:rPr>
        <w:t>.</w:t>
      </w:r>
    </w:p>
    <w:p w14:paraId="5AC73BF5" w14:textId="3B859FB8" w:rsidR="000C654A" w:rsidRDefault="000C654A" w:rsidP="000C654A">
      <w:pPr>
        <w:pStyle w:val="BodyBullet"/>
        <w:rPr>
          <w:lang w:eastAsia="ja-JP"/>
        </w:rPr>
      </w:pPr>
      <w:r>
        <w:rPr>
          <w:lang w:eastAsia="ja-JP"/>
        </w:rPr>
        <w:t xml:space="preserve">The mission statement adopted by the </w:t>
      </w:r>
      <w:r w:rsidR="00A8411C">
        <w:rPr>
          <w:lang w:eastAsia="ja-JP"/>
        </w:rPr>
        <w:t>holder</w:t>
      </w:r>
      <w:r>
        <w:rPr>
          <w:lang w:eastAsia="ja-JP"/>
        </w:rPr>
        <w:t>.</w:t>
      </w:r>
    </w:p>
    <w:p w14:paraId="28540D55" w14:textId="544C6F54" w:rsidR="000C654A" w:rsidRDefault="000C654A" w:rsidP="000C654A">
      <w:pPr>
        <w:pStyle w:val="BodyBullet"/>
        <w:rPr>
          <w:lang w:eastAsia="ja-JP"/>
        </w:rPr>
      </w:pPr>
      <w:r>
        <w:rPr>
          <w:lang w:eastAsia="ja-JP"/>
        </w:rPr>
        <w:t xml:space="preserve">Policies adopted by the </w:t>
      </w:r>
      <w:r w:rsidR="00A8411C">
        <w:rPr>
          <w:lang w:eastAsia="ja-JP"/>
        </w:rPr>
        <w:t>holder</w:t>
      </w:r>
      <w:r>
        <w:rPr>
          <w:lang w:eastAsia="ja-JP"/>
        </w:rPr>
        <w:t xml:space="preserve"> setting standards for its practices and procedures for acquiring and managing its easement assets, including sugges</w:t>
      </w:r>
      <w:r>
        <w:rPr>
          <w:lang w:eastAsia="ja-JP"/>
        </w:rPr>
        <w:t>t</w:t>
      </w:r>
      <w:r>
        <w:rPr>
          <w:lang w:eastAsia="ja-JP"/>
        </w:rPr>
        <w:t>ing changes to, or responding to requests for change to, existin</w:t>
      </w:r>
      <w:r w:rsidR="005436FD">
        <w:rPr>
          <w:lang w:eastAsia="ja-JP"/>
        </w:rPr>
        <w:t>g grants so as to maintain the easement’s</w:t>
      </w:r>
      <w:r>
        <w:rPr>
          <w:lang w:eastAsia="ja-JP"/>
        </w:rPr>
        <w:t xml:space="preserve"> long-term viability safeguarding </w:t>
      </w:r>
      <w:r w:rsidR="005436FD">
        <w:rPr>
          <w:lang w:eastAsia="ja-JP"/>
        </w:rPr>
        <w:t>the</w:t>
      </w:r>
      <w:r>
        <w:rPr>
          <w:lang w:eastAsia="ja-JP"/>
        </w:rPr>
        <w:t xml:space="preserve"> resources described in the conservation purposes of the easement.</w:t>
      </w:r>
      <w:r>
        <w:rPr>
          <w:rStyle w:val="FootnoteReference"/>
          <w:lang w:eastAsia="ja-JP"/>
        </w:rPr>
        <w:footnoteReference w:id="33"/>
      </w:r>
    </w:p>
    <w:p w14:paraId="3B903BDD" w14:textId="112F9B8D" w:rsidR="000C654A" w:rsidRDefault="000C654A" w:rsidP="000C654A">
      <w:pPr>
        <w:pStyle w:val="BodyBullet"/>
        <w:rPr>
          <w:lang w:eastAsia="ja-JP"/>
        </w:rPr>
      </w:pPr>
      <w:r>
        <w:rPr>
          <w:lang w:eastAsia="ja-JP"/>
        </w:rPr>
        <w:t xml:space="preserve">Past practices of </w:t>
      </w:r>
      <w:r w:rsidR="00A8411C">
        <w:rPr>
          <w:lang w:eastAsia="ja-JP"/>
        </w:rPr>
        <w:t>holder</w:t>
      </w:r>
      <w:r>
        <w:rPr>
          <w:lang w:eastAsia="ja-JP"/>
        </w:rPr>
        <w:t xml:space="preserve"> indicating its commitment to use, as and when necessary, its power to block land uses inconsistent with the conservation pu</w:t>
      </w:r>
      <w:r>
        <w:rPr>
          <w:lang w:eastAsia="ja-JP"/>
        </w:rPr>
        <w:t>r</w:t>
      </w:r>
      <w:r>
        <w:rPr>
          <w:lang w:eastAsia="ja-JP"/>
        </w:rPr>
        <w:t xml:space="preserve">poses of the easement. </w:t>
      </w:r>
    </w:p>
    <w:p w14:paraId="275559CA" w14:textId="543E0F78" w:rsidR="000C654A" w:rsidRDefault="000C654A" w:rsidP="000C654A">
      <w:pPr>
        <w:pStyle w:val="BodyBullet"/>
        <w:rPr>
          <w:lang w:eastAsia="ja-JP"/>
        </w:rPr>
      </w:pPr>
      <w:r>
        <w:rPr>
          <w:lang w:eastAsia="ja-JP"/>
        </w:rPr>
        <w:t xml:space="preserve">Inclusion of meaningful </w:t>
      </w:r>
      <w:r w:rsidR="00A8411C">
        <w:rPr>
          <w:lang w:eastAsia="ja-JP"/>
        </w:rPr>
        <w:t>holder</w:t>
      </w:r>
      <w:r>
        <w:rPr>
          <w:lang w:eastAsia="ja-JP"/>
        </w:rPr>
        <w:t xml:space="preserve"> covenants in its grant (</w:t>
      </w:r>
      <w:proofErr w:type="spellStart"/>
      <w:r>
        <w:rPr>
          <w:lang w:eastAsia="ja-JP"/>
        </w:rPr>
        <w:t>i</w:t>
      </w:r>
      <w:proofErr w:type="spellEnd"/>
      <w:r>
        <w:rPr>
          <w:lang w:eastAsia="ja-JP"/>
        </w:rPr>
        <w:t xml:space="preserve">) requiring </w:t>
      </w:r>
      <w:r w:rsidR="00A8411C">
        <w:rPr>
          <w:lang w:eastAsia="ja-JP"/>
        </w:rPr>
        <w:t>holder</w:t>
      </w:r>
      <w:r>
        <w:rPr>
          <w:lang w:eastAsia="ja-JP"/>
        </w:rPr>
        <w:t xml:space="preserve"> to enforce the easement in furtherance of its conservation purposes in perpetuity and (ii) providing for perpetual e</w:t>
      </w:r>
      <w:r>
        <w:rPr>
          <w:lang w:eastAsia="ja-JP"/>
        </w:rPr>
        <w:t>n</w:t>
      </w:r>
      <w:r>
        <w:rPr>
          <w:lang w:eastAsia="ja-JP"/>
        </w:rPr>
        <w:t xml:space="preserve">forceability by beneficiaries qualified to be successive </w:t>
      </w:r>
      <w:r w:rsidR="00A8411C">
        <w:rPr>
          <w:lang w:eastAsia="ja-JP"/>
        </w:rPr>
        <w:t>holder</w:t>
      </w:r>
      <w:r>
        <w:rPr>
          <w:lang w:eastAsia="ja-JP"/>
        </w:rPr>
        <w:t>s and, if none is available or willing, the Attorney General.</w:t>
      </w:r>
    </w:p>
    <w:p w14:paraId="10625F52" w14:textId="21316451" w:rsidR="000C654A" w:rsidRDefault="000C654A" w:rsidP="000C654A">
      <w:pPr>
        <w:pStyle w:val="Heading2"/>
      </w:pPr>
      <w:bookmarkStart w:id="55" w:name="_Toc275788839"/>
      <w:bookmarkStart w:id="56" w:name="_Toc288819817"/>
      <w:r>
        <w:t>Resources to Enforce</w:t>
      </w:r>
      <w:bookmarkEnd w:id="55"/>
      <w:bookmarkEnd w:id="56"/>
    </w:p>
    <w:p w14:paraId="28EF8476" w14:textId="6D243B3B" w:rsidR="000C654A" w:rsidRDefault="000C654A" w:rsidP="000C654A">
      <w:pPr>
        <w:rPr>
          <w:lang w:eastAsia="ja-JP"/>
        </w:rPr>
      </w:pPr>
      <w:r>
        <w:rPr>
          <w:lang w:eastAsia="ja-JP"/>
        </w:rPr>
        <w:t>There is no guidance furnished under the IRC charit</w:t>
      </w:r>
      <w:r>
        <w:rPr>
          <w:lang w:eastAsia="ja-JP"/>
        </w:rPr>
        <w:t>a</w:t>
      </w:r>
      <w:r>
        <w:rPr>
          <w:lang w:eastAsia="ja-JP"/>
        </w:rPr>
        <w:t xml:space="preserve">ble gift rules to answer the question </w:t>
      </w:r>
      <w:r w:rsidR="007C1651">
        <w:rPr>
          <w:lang w:eastAsia="ja-JP"/>
        </w:rPr>
        <w:t>“</w:t>
      </w:r>
      <w:r>
        <w:rPr>
          <w:lang w:eastAsia="ja-JP"/>
        </w:rPr>
        <w:t>how much is enough?</w:t>
      </w:r>
      <w:r w:rsidR="007C1651">
        <w:rPr>
          <w:lang w:eastAsia="ja-JP"/>
        </w:rPr>
        <w:t>”</w:t>
      </w:r>
      <w:r>
        <w:rPr>
          <w:lang w:eastAsia="ja-JP"/>
        </w:rPr>
        <w:t xml:space="preserve"> regarding resources </w:t>
      </w:r>
      <w:r w:rsidR="00A82ADC">
        <w:rPr>
          <w:lang w:eastAsia="ja-JP"/>
        </w:rPr>
        <w:t>to enforce the conserv</w:t>
      </w:r>
      <w:r w:rsidR="00A82ADC">
        <w:rPr>
          <w:lang w:eastAsia="ja-JP"/>
        </w:rPr>
        <w:t>a</w:t>
      </w:r>
      <w:r w:rsidR="00A82ADC">
        <w:rPr>
          <w:lang w:eastAsia="ja-JP"/>
        </w:rPr>
        <w:t>tion restrictions</w:t>
      </w:r>
      <w:r>
        <w:rPr>
          <w:lang w:eastAsia="ja-JP"/>
        </w:rPr>
        <w:t>. As applied to easement amendment decisions, the following inquiries may be relevant to the issue:</w:t>
      </w:r>
    </w:p>
    <w:p w14:paraId="07B97B23" w14:textId="77777777" w:rsidR="000C654A" w:rsidRDefault="000C654A" w:rsidP="000C654A">
      <w:pPr>
        <w:pStyle w:val="BodyBullet"/>
        <w:rPr>
          <w:lang w:eastAsia="ja-JP"/>
        </w:rPr>
      </w:pPr>
      <w:r>
        <w:rPr>
          <w:lang w:eastAsia="ja-JP"/>
        </w:rPr>
        <w:t>Has easement stewardship been adequately fun</w:t>
      </w:r>
      <w:r>
        <w:rPr>
          <w:lang w:eastAsia="ja-JP"/>
        </w:rPr>
        <w:t>d</w:t>
      </w:r>
      <w:r>
        <w:rPr>
          <w:lang w:eastAsia="ja-JP"/>
        </w:rPr>
        <w:t>ed in the past? If not, a request for amendment may be an opportunity to correct the shortfall.</w:t>
      </w:r>
    </w:p>
    <w:p w14:paraId="71B5A024" w14:textId="77777777" w:rsidR="000C654A" w:rsidRDefault="000C654A" w:rsidP="000C654A">
      <w:pPr>
        <w:pStyle w:val="BodyBullet"/>
        <w:rPr>
          <w:lang w:eastAsia="ja-JP"/>
        </w:rPr>
      </w:pPr>
      <w:r>
        <w:rPr>
          <w:lang w:eastAsia="ja-JP"/>
        </w:rPr>
        <w:t>Will the change to the grant necessitate additional spending or monitoring or added risk of incurring enforcement expenses?</w:t>
      </w:r>
    </w:p>
    <w:p w14:paraId="5FCD6848" w14:textId="77777777" w:rsidR="000C654A" w:rsidRDefault="000C654A" w:rsidP="000C654A">
      <w:pPr>
        <w:pStyle w:val="BodyBullet"/>
        <w:rPr>
          <w:lang w:eastAsia="ja-JP"/>
        </w:rPr>
      </w:pPr>
      <w:r>
        <w:rPr>
          <w:lang w:eastAsia="ja-JP"/>
        </w:rPr>
        <w:t>Are easement beneficiaries having rights of a</w:t>
      </w:r>
      <w:r>
        <w:rPr>
          <w:lang w:eastAsia="ja-JP"/>
        </w:rPr>
        <w:t>p</w:t>
      </w:r>
      <w:r>
        <w:rPr>
          <w:lang w:eastAsia="ja-JP"/>
        </w:rPr>
        <w:t>proval over the change willing to fund easement enforcement if needed?</w:t>
      </w:r>
      <w:r>
        <w:rPr>
          <w:rStyle w:val="FootnoteReference"/>
          <w:lang w:eastAsia="ja-JP"/>
        </w:rPr>
        <w:footnoteReference w:id="34"/>
      </w:r>
    </w:p>
    <w:p w14:paraId="66267EE0" w14:textId="77777777" w:rsidR="000C654A" w:rsidRPr="00313C09" w:rsidRDefault="000C654A" w:rsidP="000C654A">
      <w:pPr>
        <w:pStyle w:val="BodyBullet"/>
        <w:rPr>
          <w:lang w:eastAsia="ja-JP"/>
        </w:rPr>
      </w:pPr>
      <w:r>
        <w:rPr>
          <w:lang w:eastAsia="ja-JP"/>
        </w:rPr>
        <w:t>One of the considerations for the board in eval</w:t>
      </w:r>
      <w:r>
        <w:rPr>
          <w:lang w:eastAsia="ja-JP"/>
        </w:rPr>
        <w:t>u</w:t>
      </w:r>
      <w:r>
        <w:rPr>
          <w:lang w:eastAsia="ja-JP"/>
        </w:rPr>
        <w:t>ating a change to the grant is the benefit of settling a dispute versus the cost of litigating the matter and the likelihood of an outcome adverse to conservation purposes. One of the purposes of this cost-benefit analysis is to assure that, after the dispute is settled by an amendment to the grant, adequate resources will be available when needed to enforce other easements.</w:t>
      </w:r>
    </w:p>
    <w:p w14:paraId="6DDE46B7" w14:textId="308D728E" w:rsidR="000C654A" w:rsidRDefault="000C654A" w:rsidP="000C654A">
      <w:pPr>
        <w:pStyle w:val="Heading1"/>
      </w:pPr>
      <w:bookmarkStart w:id="57" w:name="_Toc275788840"/>
      <w:bookmarkStart w:id="58" w:name="_Toc288819818"/>
      <w:r>
        <w:t xml:space="preserve">Risks to </w:t>
      </w:r>
      <w:r w:rsidR="00A8411C">
        <w:t>Holder</w:t>
      </w:r>
      <w:r w:rsidR="007C1651">
        <w:t>’</w:t>
      </w:r>
      <w:r>
        <w:t>s Status as a Tax Exempt Charity under IRC Charitable Exemption Rules</w:t>
      </w:r>
      <w:bookmarkEnd w:id="57"/>
      <w:bookmarkEnd w:id="58"/>
    </w:p>
    <w:p w14:paraId="034BD78A" w14:textId="522D822B" w:rsidR="000C654A" w:rsidRDefault="000C654A" w:rsidP="000C654A">
      <w:pPr>
        <w:pStyle w:val="BodyText"/>
      </w:pPr>
      <w:r>
        <w:t>Provisions in the laws and regulations applicable to qualification of organizations for exemption from fe</w:t>
      </w:r>
      <w:r>
        <w:t>d</w:t>
      </w:r>
      <w:r>
        <w:t>eral income tax require the organization not only to state in its application the public interest it is commi</w:t>
      </w:r>
      <w:r>
        <w:t>t</w:t>
      </w:r>
      <w:r>
        <w:t xml:space="preserve">ted to serving </w:t>
      </w:r>
      <w:proofErr w:type="gramStart"/>
      <w:r>
        <w:t>but</w:t>
      </w:r>
      <w:proofErr w:type="gramEnd"/>
      <w:r>
        <w:t xml:space="preserve"> to see that it </w:t>
      </w:r>
      <w:r w:rsidRPr="007D1079">
        <w:rPr>
          <w:i/>
        </w:rPr>
        <w:t>continues to operate to serve that charitable purpose</w:t>
      </w:r>
      <w:r>
        <w:t>. Thus, to remain qualified for tax-exempt status for federal income tax purposes</w:t>
      </w:r>
      <w:r w:rsidR="00575DC9">
        <w:t>,</w:t>
      </w:r>
      <w:r>
        <w:t xml:space="preserve"> an organization recognized </w:t>
      </w:r>
      <w:proofErr w:type="gramStart"/>
      <w:r>
        <w:t>as a charitable organiz</w:t>
      </w:r>
      <w:r>
        <w:t>a</w:t>
      </w:r>
      <w:r>
        <w:t xml:space="preserve">tion under IRC§501(c)(3) (hereafter referred to as a </w:t>
      </w:r>
      <w:r w:rsidR="007C1651">
        <w:t>“</w:t>
      </w:r>
      <w:r>
        <w:t>charitable organization</w:t>
      </w:r>
      <w:r w:rsidR="007C1651">
        <w:t>”</w:t>
      </w:r>
      <w:r>
        <w:t>) must use its charitable a</w:t>
      </w:r>
      <w:r>
        <w:t>s</w:t>
      </w:r>
      <w:r>
        <w:t>sets (which includes the conservation easemen</w:t>
      </w:r>
      <w:r w:rsidR="00046629">
        <w:t xml:space="preserve">t) to serve the public interest—not </w:t>
      </w:r>
      <w:r>
        <w:t>for the interests of pr</w:t>
      </w:r>
      <w:r>
        <w:t>i</w:t>
      </w:r>
      <w:r>
        <w:t>vate persons</w:t>
      </w:r>
      <w:proofErr w:type="gramEnd"/>
      <w:r>
        <w:t xml:space="preserve">. </w:t>
      </w:r>
    </w:p>
    <w:p w14:paraId="0F9882C2" w14:textId="4A2FD220" w:rsidR="000C654A" w:rsidRDefault="000C654A" w:rsidP="000C654A">
      <w:pPr>
        <w:pStyle w:val="BodyText"/>
      </w:pPr>
      <w:r>
        <w:t>Two rules have been derived from the text of IRC§501(c)(3) that, if violated, may result in revocation of the tax-exempt status of a charity.</w:t>
      </w:r>
      <w:r>
        <w:rPr>
          <w:rStyle w:val="FootnoteReference"/>
        </w:rPr>
        <w:footnoteReference w:id="35"/>
      </w:r>
      <w:r>
        <w:t xml:space="preserve"> These are the </w:t>
      </w:r>
      <w:r w:rsidRPr="000C654A">
        <w:rPr>
          <w:i/>
        </w:rPr>
        <w:t>private inurement rule</w:t>
      </w:r>
      <w:r>
        <w:rPr>
          <w:rStyle w:val="FootnoteReference"/>
        </w:rPr>
        <w:footnoteReference w:id="36"/>
      </w:r>
      <w:r>
        <w:t xml:space="preserve"> and the </w:t>
      </w:r>
      <w:r w:rsidRPr="000C654A">
        <w:rPr>
          <w:i/>
        </w:rPr>
        <w:t>private benefit rule</w:t>
      </w:r>
      <w:r w:rsidR="005436FD">
        <w:rPr>
          <w:i/>
        </w:rPr>
        <w:t>,</w:t>
      </w:r>
      <w:r>
        <w:rPr>
          <w:rStyle w:val="FootnoteReference"/>
        </w:rPr>
        <w:footnoteReference w:id="37"/>
      </w:r>
      <w:r w:rsidR="005436FD">
        <w:t xml:space="preserve"> </w:t>
      </w:r>
      <w:r>
        <w:t>which are discussed in the following two sections. This discussion is not intended to be a comprehensive or detailed explanation of these rules or how the rules apply to amendment issues. That is impossible b</w:t>
      </w:r>
      <w:r>
        <w:t>e</w:t>
      </w:r>
      <w:r>
        <w:t xml:space="preserve">cause application of the rules is highly fact-sensitive and each amendment is based on a unique set of facts and circumstances. </w:t>
      </w:r>
      <w:r w:rsidR="002B7B6A">
        <w:t>The Service’s website has c</w:t>
      </w:r>
      <w:r>
        <w:t>ompr</w:t>
      </w:r>
      <w:r>
        <w:t>e</w:t>
      </w:r>
      <w:r>
        <w:t>hensive guides</w:t>
      </w:r>
      <w:r>
        <w:rPr>
          <w:rStyle w:val="FootnoteReference"/>
        </w:rPr>
        <w:footnoteReference w:id="38"/>
      </w:r>
      <w:r w:rsidR="002B7B6A">
        <w:t xml:space="preserve"> that</w:t>
      </w:r>
      <w:r>
        <w:t xml:space="preserve"> explain the application of the regulations</w:t>
      </w:r>
      <w:r>
        <w:rPr>
          <w:rStyle w:val="FootnoteReference"/>
        </w:rPr>
        <w:footnoteReference w:id="39"/>
      </w:r>
      <w:r>
        <w:t xml:space="preserve"> under IRC§501(c)(3) and the body of j</w:t>
      </w:r>
      <w:r>
        <w:t>u</w:t>
      </w:r>
      <w:r>
        <w:t>dicial decisions that apply the rules to specific fact situations.</w:t>
      </w:r>
      <w:r>
        <w:rPr>
          <w:rStyle w:val="FootnoteReference"/>
        </w:rPr>
        <w:footnoteReference w:id="40"/>
      </w:r>
    </w:p>
    <w:p w14:paraId="68DCF3BD" w14:textId="77777777" w:rsidR="000C654A" w:rsidRDefault="000C654A" w:rsidP="000C654A">
      <w:pPr>
        <w:pStyle w:val="Heading2"/>
      </w:pPr>
      <w:bookmarkStart w:id="59" w:name="_Toc275788841"/>
      <w:bookmarkStart w:id="60" w:name="_Toc288819819"/>
      <w:r w:rsidRPr="003806F5">
        <w:t>Private Inurement</w:t>
      </w:r>
      <w:bookmarkEnd w:id="59"/>
      <w:bookmarkEnd w:id="60"/>
    </w:p>
    <w:p w14:paraId="7F7F9164" w14:textId="77777777" w:rsidR="000C654A" w:rsidRDefault="000C654A" w:rsidP="000C654A">
      <w:pPr>
        <w:pStyle w:val="Heading3"/>
      </w:pPr>
      <w:bookmarkStart w:id="61" w:name="_Toc275788842"/>
      <w:r>
        <w:t>Charitable organizations may not provide economic benefits to insiders</w:t>
      </w:r>
      <w:bookmarkEnd w:id="61"/>
    </w:p>
    <w:p w14:paraId="5BF9B392" w14:textId="5B67CCCD" w:rsidR="000C654A" w:rsidRDefault="00822E3E" w:rsidP="000C654A">
      <w:r>
        <w:rPr>
          <w:lang w:eastAsia="ja-JP"/>
        </w:rPr>
        <w:t>The IRC charitable exemption rules describe a</w:t>
      </w:r>
      <w:r w:rsidR="000C654A">
        <w:rPr>
          <w:lang w:eastAsia="ja-JP"/>
        </w:rPr>
        <w:t xml:space="preserve"> tax-exempt charitable organization as </w:t>
      </w:r>
      <w:proofErr w:type="gramStart"/>
      <w:r w:rsidR="000C654A">
        <w:rPr>
          <w:lang w:eastAsia="ja-JP"/>
        </w:rPr>
        <w:t>one which</w:t>
      </w:r>
      <w:proofErr w:type="gramEnd"/>
      <w:r w:rsidR="000C654A">
        <w:rPr>
          <w:lang w:eastAsia="ja-JP"/>
        </w:rPr>
        <w:t xml:space="preserve"> </w:t>
      </w:r>
      <w:r w:rsidR="007C1651">
        <w:rPr>
          <w:lang w:eastAsia="ja-JP"/>
        </w:rPr>
        <w:t>“</w:t>
      </w:r>
      <w:r w:rsidR="000C654A">
        <w:rPr>
          <w:lang w:eastAsia="ja-JP"/>
        </w:rPr>
        <w:t>no part of the net income of which inures to the benefit of any private share</w:t>
      </w:r>
      <w:r w:rsidR="00A8411C">
        <w:rPr>
          <w:lang w:eastAsia="ja-JP"/>
        </w:rPr>
        <w:t>holder</w:t>
      </w:r>
      <w:r w:rsidR="000C654A">
        <w:rPr>
          <w:lang w:eastAsia="ja-JP"/>
        </w:rPr>
        <w:t xml:space="preserve"> or individual. In other words, nonprofit, </w:t>
      </w:r>
      <w:r w:rsidR="000C654A">
        <w:t>charitable organizations are not operated to distribute net earnings to share</w:t>
      </w:r>
      <w:r w:rsidR="00A8411C">
        <w:t>holder</w:t>
      </w:r>
      <w:r w:rsidR="000C654A">
        <w:t>s or to individ</w:t>
      </w:r>
      <w:r w:rsidR="000C654A">
        <w:t>u</w:t>
      </w:r>
      <w:r w:rsidR="000C654A">
        <w:t>als who, by course of conduct, are the functional equivalent of share</w:t>
      </w:r>
      <w:r w:rsidR="00A8411C">
        <w:t>holder</w:t>
      </w:r>
      <w:r w:rsidR="000C654A">
        <w:t xml:space="preserve">s. The lack of a profit motive and the </w:t>
      </w:r>
      <w:r w:rsidR="00575DC9">
        <w:t>in</w:t>
      </w:r>
      <w:r w:rsidR="000C654A">
        <w:t>ability to distribute earnings sets charities apart from for-profit organizations. Taxpayers ought not to be supporting organizations that distribute earnings to those who are the functional equivalent of share</w:t>
      </w:r>
      <w:r w:rsidR="00A8411C">
        <w:t>holder</w:t>
      </w:r>
      <w:r w:rsidR="000C654A">
        <w:t>s. Organizations that are found to have violated the private inurement rule risk revocation of their tax-exempt status under the IRC charitable e</w:t>
      </w:r>
      <w:r w:rsidR="000C654A">
        <w:t>x</w:t>
      </w:r>
      <w:r w:rsidR="000C654A">
        <w:t>emption rules.</w:t>
      </w:r>
      <w:r w:rsidR="000C654A">
        <w:rPr>
          <w:rStyle w:val="FootnoteReference"/>
        </w:rPr>
        <w:footnoteReference w:id="41"/>
      </w:r>
      <w:r w:rsidR="000C654A">
        <w:t xml:space="preserve"> </w:t>
      </w:r>
    </w:p>
    <w:p w14:paraId="156AC6D4" w14:textId="77777777" w:rsidR="000C654A" w:rsidRPr="006E6255" w:rsidRDefault="000C654A" w:rsidP="000C654A">
      <w:pPr>
        <w:pStyle w:val="Heading3"/>
      </w:pPr>
      <w:bookmarkStart w:id="62" w:name="_Toc275788843"/>
      <w:r>
        <w:t>Any amount is fatal to revocation of tax-exempt st</w:t>
      </w:r>
      <w:r>
        <w:t>a</w:t>
      </w:r>
      <w:r>
        <w:t>tus</w:t>
      </w:r>
      <w:bookmarkEnd w:id="62"/>
    </w:p>
    <w:p w14:paraId="3C5A5DE0" w14:textId="012E8C46" w:rsidR="000C654A" w:rsidRDefault="000C654A" w:rsidP="000C654A">
      <w:pPr>
        <w:pStyle w:val="BodyText"/>
      </w:pPr>
      <w:r>
        <w:t>With respect to the private inurement standard, the amount of benefit is irrelevant. It does not matter how much benefit was received by the insider or whether that benefit was incidental to the primary activities of the organization.</w:t>
      </w:r>
      <w:r>
        <w:rPr>
          <w:rStyle w:val="FootnoteReference"/>
        </w:rPr>
        <w:footnoteReference w:id="42"/>
      </w:r>
      <w:r>
        <w:t xml:space="preserve"> The purpose of the rule is to be sure that charitable assets of the organization are not distributed to insiders. Cash and other financial ben</w:t>
      </w:r>
      <w:r>
        <w:t>e</w:t>
      </w:r>
      <w:r>
        <w:t xml:space="preserve">fits, whatever the amount, may not </w:t>
      </w:r>
      <w:proofErr w:type="gramStart"/>
      <w:r>
        <w:t>distributed</w:t>
      </w:r>
      <w:proofErr w:type="gramEnd"/>
      <w:r>
        <w:t xml:space="preserve"> to those in a position to influence the decisions of the </w:t>
      </w:r>
      <w:r w:rsidR="00A8411C">
        <w:t>holder</w:t>
      </w:r>
      <w:r>
        <w:t>.</w:t>
      </w:r>
    </w:p>
    <w:p w14:paraId="71D03051" w14:textId="77777777" w:rsidR="000C654A" w:rsidRDefault="000C654A" w:rsidP="000C654A">
      <w:pPr>
        <w:pStyle w:val="Heading3"/>
      </w:pPr>
      <w:bookmarkStart w:id="63" w:name="_Toc275788844"/>
      <w:r>
        <w:t>Standard of reasonableness</w:t>
      </w:r>
      <w:bookmarkEnd w:id="63"/>
    </w:p>
    <w:p w14:paraId="5ADA7A60" w14:textId="77777777" w:rsidR="000C654A" w:rsidRDefault="000C654A" w:rsidP="000C654A">
      <w:pPr>
        <w:pStyle w:val="BodyText"/>
      </w:pPr>
      <w:r>
        <w:t>The private inurement doctrine requires that transa</w:t>
      </w:r>
      <w:r>
        <w:t>c</w:t>
      </w:r>
      <w:r>
        <w:t>tions with insiders be tested against a standard of reasonableness. The reasonableness standard focuses essentially on comparisons—how do similar organiz</w:t>
      </w:r>
      <w:r>
        <w:t>a</w:t>
      </w:r>
      <w:r>
        <w:t>tions, acting prudently, transact their affairs in comparable circumstances?</w:t>
      </w:r>
    </w:p>
    <w:p w14:paraId="0A95A4E5" w14:textId="77777777" w:rsidR="000C654A" w:rsidRDefault="000C654A" w:rsidP="000C654A">
      <w:pPr>
        <w:pStyle w:val="Heading4"/>
      </w:pPr>
      <w:r>
        <w:t>No departure from ordinary practice</w:t>
      </w:r>
      <w:r>
        <w:rPr>
          <w:rStyle w:val="FootnoteReference"/>
        </w:rPr>
        <w:footnoteReference w:id="43"/>
      </w:r>
    </w:p>
    <w:p w14:paraId="29E3ADE0" w14:textId="77777777" w:rsidR="000C654A" w:rsidRDefault="000C654A" w:rsidP="000C654A">
      <w:pPr>
        <w:pStyle w:val="BodyText"/>
      </w:pPr>
      <w:r>
        <w:t>The general rule is that if arrangements are indisti</w:t>
      </w:r>
      <w:r>
        <w:t>n</w:t>
      </w:r>
      <w:r>
        <w:t>guishable from ordinary prudent business practices in comparable circumstances, a fair exchange of benefits is presumed and inurement will not be found.</w:t>
      </w:r>
      <w:r>
        <w:rPr>
          <w:rStyle w:val="FootnoteReference"/>
        </w:rPr>
        <w:footnoteReference w:id="44"/>
      </w:r>
    </w:p>
    <w:p w14:paraId="1E922532" w14:textId="77777777" w:rsidR="000C654A" w:rsidRDefault="000C654A" w:rsidP="000C654A">
      <w:pPr>
        <w:pStyle w:val="Heading4"/>
      </w:pPr>
      <w:r>
        <w:t>Unusual economic benefit conferred</w:t>
      </w:r>
      <w:r>
        <w:rPr>
          <w:rStyle w:val="FootnoteReference"/>
        </w:rPr>
        <w:footnoteReference w:id="45"/>
      </w:r>
    </w:p>
    <w:p w14:paraId="67A9B931" w14:textId="77777777" w:rsidR="000C654A" w:rsidRDefault="000C654A" w:rsidP="000C654A">
      <w:pPr>
        <w:pStyle w:val="BodyText"/>
      </w:pPr>
      <w:r>
        <w:t>There is no prohibition against an exempt charity dealing with its founders, members or others in seeing to the conduct of its economic affairs. However, any transaction between an organization and a private i</w:t>
      </w:r>
      <w:r>
        <w:t>n</w:t>
      </w:r>
      <w:r>
        <w:t>dividual in which the individual appears to receive a disproportionate share of the benefits of the exchange relative to the charity served presents an inurement issue.</w:t>
      </w:r>
      <w:r>
        <w:rPr>
          <w:rStyle w:val="FootnoteReference"/>
        </w:rPr>
        <w:footnoteReference w:id="46"/>
      </w:r>
    </w:p>
    <w:p w14:paraId="75327852" w14:textId="77777777" w:rsidR="000C654A" w:rsidRDefault="000C654A" w:rsidP="000C654A">
      <w:pPr>
        <w:pStyle w:val="Heading3"/>
      </w:pPr>
      <w:bookmarkStart w:id="64" w:name="_Toc275788845"/>
      <w:r>
        <w:t>Who is an insider or other influential person?</w:t>
      </w:r>
      <w:bookmarkEnd w:id="64"/>
    </w:p>
    <w:p w14:paraId="2C3ED4BB" w14:textId="01F58E7C" w:rsidR="000C654A" w:rsidRDefault="000C654A" w:rsidP="000C654A">
      <w:pPr>
        <w:pStyle w:val="BodyText"/>
      </w:pPr>
      <w:r>
        <w:t>Whenever courts have held that a certain transaction, or course of conduct, constitutes private inurement, the underlying fact pattern is that the benefitted ind</w:t>
      </w:r>
      <w:r>
        <w:t>i</w:t>
      </w:r>
      <w:r>
        <w:t>vidual stands in a relationship with the organization which offers him the opportunity to make use of the organization</w:t>
      </w:r>
      <w:r w:rsidR="007C1651">
        <w:t>’</w:t>
      </w:r>
      <w:r>
        <w:t>s income or assets for personal gain.</w:t>
      </w:r>
      <w:r>
        <w:rPr>
          <w:rStyle w:val="FootnoteReference"/>
        </w:rPr>
        <w:footnoteReference w:id="47"/>
      </w:r>
    </w:p>
    <w:p w14:paraId="0173D5FD" w14:textId="77777777" w:rsidR="000C654A" w:rsidRDefault="000C654A" w:rsidP="000C654A">
      <w:pPr>
        <w:pStyle w:val="Heading4"/>
      </w:pPr>
      <w:r>
        <w:t>Legal Control</w:t>
      </w:r>
    </w:p>
    <w:p w14:paraId="53E50C66" w14:textId="7DACE1C3" w:rsidR="000C654A" w:rsidRPr="00535E43" w:rsidRDefault="000C654A" w:rsidP="000C654A">
      <w:pPr>
        <w:pStyle w:val="BodyText"/>
      </w:pPr>
      <w:r>
        <w:t xml:space="preserve">Directors and officers of the </w:t>
      </w:r>
      <w:r w:rsidR="00A8411C">
        <w:t>holder</w:t>
      </w:r>
      <w:r>
        <w:t xml:space="preserve"> must be consi</w:t>
      </w:r>
      <w:r>
        <w:t>d</w:t>
      </w:r>
      <w:r>
        <w:t xml:space="preserve">ered insiders as well as anyone else considered to be a person having a conflict of interest in the decision as described in </w:t>
      </w:r>
      <w:r w:rsidR="00A8411C">
        <w:t>holder</w:t>
      </w:r>
      <w:r w:rsidR="007C1651">
        <w:t>’</w:t>
      </w:r>
      <w:r>
        <w:t>s policy on that topic.</w:t>
      </w:r>
    </w:p>
    <w:p w14:paraId="15197575" w14:textId="77777777" w:rsidR="000C654A" w:rsidRDefault="000C654A" w:rsidP="000C654A">
      <w:pPr>
        <w:pStyle w:val="Heading4"/>
      </w:pPr>
      <w:r>
        <w:t>Influence Over Operations</w:t>
      </w:r>
    </w:p>
    <w:p w14:paraId="0CBBC4A0" w14:textId="56F9E91A" w:rsidR="000C654A" w:rsidRDefault="000C654A" w:rsidP="000C654A">
      <w:pPr>
        <w:pStyle w:val="BodyText"/>
        <w:rPr>
          <w:szCs w:val="22"/>
        </w:rPr>
      </w:pPr>
      <w:r w:rsidRPr="00FC5F02">
        <w:rPr>
          <w:szCs w:val="22"/>
        </w:rPr>
        <w:t>The class of insiders is not limited to those who are able to exercise legal control over the organization such as officers, directors or trustees. Any individual</w:t>
      </w:r>
      <w:r>
        <w:rPr>
          <w:szCs w:val="22"/>
        </w:rPr>
        <w:t>s</w:t>
      </w:r>
      <w:r w:rsidRPr="00FC5F02">
        <w:rPr>
          <w:szCs w:val="22"/>
        </w:rPr>
        <w:t xml:space="preserve"> who have significant influence over the organization</w:t>
      </w:r>
      <w:r w:rsidR="007C1651">
        <w:rPr>
          <w:szCs w:val="22"/>
        </w:rPr>
        <w:t>’</w:t>
      </w:r>
      <w:r w:rsidRPr="00FC5F02">
        <w:rPr>
          <w:szCs w:val="22"/>
        </w:rPr>
        <w:t>s operations may be treated as insiders in an economic sense.</w:t>
      </w:r>
      <w:r w:rsidRPr="007B196E">
        <w:rPr>
          <w:rStyle w:val="FootnoteReference"/>
          <w:sz w:val="24"/>
        </w:rPr>
        <w:footnoteReference w:id="48"/>
      </w:r>
    </w:p>
    <w:p w14:paraId="1A72EDAB" w14:textId="74D97A19" w:rsidR="000C654A" w:rsidRPr="007B196E" w:rsidRDefault="000C654A" w:rsidP="000C654A">
      <w:pPr>
        <w:pStyle w:val="BlockText"/>
      </w:pPr>
      <w:r>
        <w:rPr>
          <w:i/>
        </w:rPr>
        <w:t xml:space="preserve">Example: </w:t>
      </w:r>
      <w:r>
        <w:t xml:space="preserve">A landowner requesting a change to a grant who is a major donor to the </w:t>
      </w:r>
      <w:r w:rsidR="00A8411C">
        <w:t>holder</w:t>
      </w:r>
      <w:r>
        <w:t xml:space="preserve"> may be classed as an insider for purposes of application of the private inurement rule. Likewise, a </w:t>
      </w:r>
      <w:r w:rsidR="00A8411C">
        <w:t>holder</w:t>
      </w:r>
      <w:r>
        <w:t xml:space="preserve"> who receives substantial support from gover</w:t>
      </w:r>
      <w:r>
        <w:t>n</w:t>
      </w:r>
      <w:r>
        <w:t>mental or foundation grants must consider the possibility that a landowner who is a Board member or official of such entity may be an insi</w:t>
      </w:r>
      <w:r>
        <w:t>d</w:t>
      </w:r>
      <w:r>
        <w:t>er for these purposes.</w:t>
      </w:r>
    </w:p>
    <w:p w14:paraId="46146DCC" w14:textId="77777777" w:rsidR="000C654A" w:rsidRDefault="000C654A" w:rsidP="000C654A">
      <w:pPr>
        <w:pStyle w:val="Heading2"/>
      </w:pPr>
      <w:bookmarkStart w:id="65" w:name="_Toc275788846"/>
      <w:bookmarkStart w:id="66" w:name="_Toc288819820"/>
      <w:r w:rsidRPr="007B196E">
        <w:t>Private Benefit</w:t>
      </w:r>
      <w:bookmarkEnd w:id="65"/>
      <w:bookmarkEnd w:id="66"/>
    </w:p>
    <w:p w14:paraId="18C4F930" w14:textId="77777777" w:rsidR="000C654A" w:rsidRDefault="000C654A" w:rsidP="000C654A">
      <w:pPr>
        <w:rPr>
          <w:lang w:eastAsia="ja-JP"/>
        </w:rPr>
      </w:pPr>
      <w:r>
        <w:rPr>
          <w:lang w:eastAsia="ja-JP"/>
        </w:rPr>
        <w:t>Most charitable activities necessarily involve some benefit to non-charitable interests. Charities purchase goods and services from vendors. Vendors make a profit from sales to charities just like any other tran</w:t>
      </w:r>
      <w:r>
        <w:rPr>
          <w:lang w:eastAsia="ja-JP"/>
        </w:rPr>
        <w:t>s</w:t>
      </w:r>
      <w:r>
        <w:rPr>
          <w:lang w:eastAsia="ja-JP"/>
        </w:rPr>
        <w:t xml:space="preserve">action. The IRC charitable exemption rules cannot rule out </w:t>
      </w:r>
      <w:r w:rsidRPr="00FE53CF">
        <w:rPr>
          <w:i/>
          <w:lang w:eastAsia="ja-JP"/>
        </w:rPr>
        <w:t xml:space="preserve">all </w:t>
      </w:r>
      <w:r>
        <w:rPr>
          <w:lang w:eastAsia="ja-JP"/>
        </w:rPr>
        <w:t>transactions in which a private interest derives an economic benefit from a charity. The question then is: how can charitable organizations, as they enter into transactions and arrangements with private entities, ensure that they will be viewed as serving the public interest when it is at least possible, and often probable, that private interests will economically benefit from these activities?</w:t>
      </w:r>
    </w:p>
    <w:p w14:paraId="57986441" w14:textId="77777777" w:rsidR="000C654A" w:rsidRDefault="000C654A" w:rsidP="000C654A">
      <w:pPr>
        <w:pStyle w:val="Heading3"/>
      </w:pPr>
      <w:bookmarkStart w:id="67" w:name="_Toc275788847"/>
      <w:r>
        <w:t>Purpose of Rule</w:t>
      </w:r>
      <w:bookmarkEnd w:id="67"/>
    </w:p>
    <w:p w14:paraId="0C4AE5D6" w14:textId="12DA671F" w:rsidR="000C654A" w:rsidRDefault="000C654A" w:rsidP="000C654A">
      <w:pPr>
        <w:pStyle w:val="BodyText"/>
      </w:pPr>
      <w:r w:rsidRPr="00127CF7">
        <w:rPr>
          <w:szCs w:val="22"/>
        </w:rPr>
        <w:t xml:space="preserve">The private benefit </w:t>
      </w:r>
      <w:r>
        <w:rPr>
          <w:szCs w:val="22"/>
        </w:rPr>
        <w:t xml:space="preserve">rule, which addresses the above question, </w:t>
      </w:r>
      <w:r w:rsidRPr="00127CF7">
        <w:rPr>
          <w:szCs w:val="22"/>
        </w:rPr>
        <w:t>arises from a provision in IRC</w:t>
      </w:r>
      <w:r>
        <w:rPr>
          <w:szCs w:val="22"/>
        </w:rPr>
        <w:t xml:space="preserve"> charitable e</w:t>
      </w:r>
      <w:r>
        <w:rPr>
          <w:szCs w:val="22"/>
        </w:rPr>
        <w:t>x</w:t>
      </w:r>
      <w:r>
        <w:rPr>
          <w:szCs w:val="22"/>
        </w:rPr>
        <w:t xml:space="preserve">emption rules </w:t>
      </w:r>
      <w:r w:rsidRPr="00127CF7">
        <w:rPr>
          <w:szCs w:val="22"/>
        </w:rPr>
        <w:t>that conditions the charitable organization</w:t>
      </w:r>
      <w:r w:rsidR="007C1651">
        <w:rPr>
          <w:szCs w:val="22"/>
        </w:rPr>
        <w:t>’</w:t>
      </w:r>
      <w:r w:rsidRPr="00127CF7">
        <w:rPr>
          <w:szCs w:val="22"/>
        </w:rPr>
        <w:t xml:space="preserve">s tax-exempt status on its </w:t>
      </w:r>
      <w:r w:rsidRPr="00127CF7">
        <w:rPr>
          <w:i/>
          <w:szCs w:val="22"/>
        </w:rPr>
        <w:t>continuing to engage primarily in activities which accomplish one or more exempt purposes</w:t>
      </w:r>
      <w:r>
        <w:rPr>
          <w:i/>
          <w:szCs w:val="22"/>
        </w:rPr>
        <w:t>.</w:t>
      </w:r>
      <w:r w:rsidRPr="00127CF7">
        <w:rPr>
          <w:rStyle w:val="FootnoteReference"/>
          <w:i/>
          <w:szCs w:val="22"/>
        </w:rPr>
        <w:footnoteReference w:id="49"/>
      </w:r>
    </w:p>
    <w:p w14:paraId="305FFC83" w14:textId="366300F1" w:rsidR="000C654A" w:rsidRDefault="000C654A" w:rsidP="000C654A">
      <w:pPr>
        <w:pStyle w:val="BodyText"/>
      </w:pPr>
      <w:r>
        <w:t xml:space="preserve">The purpose of the private benefit rule is to assure that organizations </w:t>
      </w:r>
      <w:r w:rsidR="00822E3E">
        <w:t>that</w:t>
      </w:r>
      <w:r>
        <w:t xml:space="preserve"> have obtained tax-exempt status continue to operate primarily for the exempt purposes identified in their application for such status.</w:t>
      </w:r>
      <w:r>
        <w:rPr>
          <w:rStyle w:val="FootnoteReference"/>
        </w:rPr>
        <w:footnoteReference w:id="50"/>
      </w:r>
    </w:p>
    <w:p w14:paraId="6D670926" w14:textId="77777777" w:rsidR="000C654A" w:rsidRDefault="000C654A" w:rsidP="000C654A">
      <w:pPr>
        <w:pStyle w:val="Heading3"/>
      </w:pPr>
      <w:bookmarkStart w:id="68" w:name="_Toc275788848"/>
      <w:r>
        <w:t>Differentiating primary purpose from incidental benefit</w:t>
      </w:r>
      <w:bookmarkEnd w:id="68"/>
    </w:p>
    <w:p w14:paraId="24D6F5A9" w14:textId="5DE4CE67" w:rsidR="000C654A" w:rsidRDefault="000C654A" w:rsidP="000C654A">
      <w:pPr>
        <w:pStyle w:val="BodyText"/>
      </w:pPr>
      <w:r>
        <w:t>The Internal Revenue Service</w:t>
      </w:r>
      <w:r w:rsidR="007C1651">
        <w:t>’</w:t>
      </w:r>
      <w:r>
        <w:t>s approach to analyzing private benefit issues is as follows: The amount of pr</w:t>
      </w:r>
      <w:r>
        <w:t>i</w:t>
      </w:r>
      <w:r>
        <w:t>vate benefit that will be permitted depends on (a) whether the private benefit is necessary in order to effectuate the organization</w:t>
      </w:r>
      <w:r w:rsidR="007C1651">
        <w:t>’</w:t>
      </w:r>
      <w:r>
        <w:t>s exempt purpose; and (b) the magnitude of the private benefit in relation to the public benefit derived from the organization</w:t>
      </w:r>
      <w:r w:rsidR="007C1651">
        <w:t>’</w:t>
      </w:r>
      <w:r>
        <w:t>s activ</w:t>
      </w:r>
      <w:r>
        <w:t>i</w:t>
      </w:r>
      <w:r>
        <w:t>ties.</w:t>
      </w:r>
      <w:r>
        <w:rPr>
          <w:rStyle w:val="FootnoteReference"/>
        </w:rPr>
        <w:footnoteReference w:id="51"/>
      </w:r>
      <w:r>
        <w:t xml:space="preserve"> </w:t>
      </w:r>
    </w:p>
    <w:p w14:paraId="659B1BCD" w14:textId="77777777" w:rsidR="000C654A" w:rsidRPr="00D32E10" w:rsidRDefault="000C654A" w:rsidP="000C654A">
      <w:pPr>
        <w:pStyle w:val="Heading2"/>
      </w:pPr>
      <w:bookmarkStart w:id="69" w:name="_Toc275788849"/>
      <w:bookmarkStart w:id="70" w:name="_Toc288819821"/>
      <w:r>
        <w:t>Application to Easement Amendments</w:t>
      </w:r>
      <w:bookmarkEnd w:id="69"/>
      <w:bookmarkEnd w:id="70"/>
    </w:p>
    <w:p w14:paraId="0A866549" w14:textId="77777777" w:rsidR="000C654A" w:rsidRDefault="000C654A" w:rsidP="000C654A">
      <w:pPr>
        <w:pStyle w:val="Heading3"/>
      </w:pPr>
      <w:bookmarkStart w:id="71" w:name="_Toc275788850"/>
      <w:r>
        <w:t>Amendment may benefit both landowner and pu</w:t>
      </w:r>
      <w:r>
        <w:t>b</w:t>
      </w:r>
      <w:r>
        <w:t>lic</w:t>
      </w:r>
      <w:bookmarkEnd w:id="71"/>
    </w:p>
    <w:p w14:paraId="60E864E1" w14:textId="3FFDF368" w:rsidR="000C654A" w:rsidRDefault="000C654A" w:rsidP="000C654A">
      <w:pPr>
        <w:pStyle w:val="BodyText"/>
      </w:pPr>
      <w:proofErr w:type="gramStart"/>
      <w:r>
        <w:t>Requests for changes to a conservation easement are typically initiated by the landowners</w:t>
      </w:r>
      <w:proofErr w:type="gramEnd"/>
      <w:r>
        <w:t>. In many if not most cases the landowners see some personal a</w:t>
      </w:r>
      <w:r>
        <w:t>d</w:t>
      </w:r>
      <w:r>
        <w:t xml:space="preserve">vantage in doing so. The </w:t>
      </w:r>
      <w:r w:rsidR="00A8411C">
        <w:t>holder</w:t>
      </w:r>
      <w:r>
        <w:t xml:space="preserve"> may be able to identify amendments to the grant that would both sa</w:t>
      </w:r>
      <w:r>
        <w:t>t</w:t>
      </w:r>
      <w:r>
        <w:t>isfy the wishes of the landowner and provide new and substantial public benefits. The arrangement is mut</w:t>
      </w:r>
      <w:r>
        <w:t>u</w:t>
      </w:r>
      <w:r>
        <w:t xml:space="preserve">ally beneficial but, unlike an exchange of goods and services for cash, there is no </w:t>
      </w:r>
      <w:r w:rsidRPr="00D32E10">
        <w:rPr>
          <w:i/>
        </w:rPr>
        <w:t>exchange</w:t>
      </w:r>
      <w:r>
        <w:t xml:space="preserve"> of value from one party to the other. The conservation value of the easement may be increased concurrently with an i</w:t>
      </w:r>
      <w:r>
        <w:t>n</w:t>
      </w:r>
      <w:r>
        <w:t>crease in the value of the eased property. An increase in one does not signify a decrease in the other.</w:t>
      </w:r>
      <w:r>
        <w:rPr>
          <w:rStyle w:val="FootnoteReference"/>
        </w:rPr>
        <w:footnoteReference w:id="52"/>
      </w:r>
    </w:p>
    <w:p w14:paraId="4E72F0E4" w14:textId="1819D63D" w:rsidR="000C654A" w:rsidRDefault="000C654A" w:rsidP="000C654A">
      <w:pPr>
        <w:pStyle w:val="BodyText"/>
      </w:pPr>
      <w:r>
        <w:t xml:space="preserve">Nevertheless, the </w:t>
      </w:r>
      <w:r w:rsidR="00897402">
        <w:t>h</w:t>
      </w:r>
      <w:r w:rsidR="00A8411C">
        <w:t>older</w:t>
      </w:r>
      <w:r>
        <w:t xml:space="preserve"> must take care to see that the proposed amendment not only advances the public benefit of conserving natural and scenic resources but that it is viewed in that light and not as conferring a private benefit on the landowner. The IRC charitable exemption rules (including guidance available online) do not address easement amendments but do provide a framework for analysis.</w:t>
      </w:r>
    </w:p>
    <w:p w14:paraId="2A903CE9" w14:textId="77777777" w:rsidR="000C654A" w:rsidRDefault="000C654A" w:rsidP="000C654A">
      <w:pPr>
        <w:pStyle w:val="Heading3"/>
      </w:pPr>
      <w:bookmarkStart w:id="72" w:name="_Toc275788851"/>
      <w:r>
        <w:t>Analyzing private benefit - incidental versus i</w:t>
      </w:r>
      <w:r>
        <w:t>m</w:t>
      </w:r>
      <w:r>
        <w:t>permissible</w:t>
      </w:r>
      <w:bookmarkEnd w:id="72"/>
      <w:r>
        <w:t xml:space="preserve"> </w:t>
      </w:r>
    </w:p>
    <w:p w14:paraId="7A7D8790" w14:textId="3D2A0BF3" w:rsidR="000C654A" w:rsidRDefault="000C654A" w:rsidP="00822E3E">
      <w:pPr>
        <w:pStyle w:val="BodyBullet"/>
        <w:rPr>
          <w:b/>
        </w:rPr>
      </w:pPr>
      <w:r w:rsidRPr="00F16794">
        <w:rPr>
          <w:b/>
        </w:rPr>
        <w:t xml:space="preserve">Primary purpose (operational) test. </w:t>
      </w:r>
      <w:r w:rsidRPr="00F16794">
        <w:t>The first i</w:t>
      </w:r>
      <w:r w:rsidRPr="00F16794">
        <w:t>n</w:t>
      </w:r>
      <w:r w:rsidRPr="00F16794">
        <w:t>quiry</w:t>
      </w:r>
      <w:r>
        <w:t xml:space="preserve"> in determining if and how much of a private benefit is permissible</w:t>
      </w:r>
      <w:r w:rsidRPr="00F16794">
        <w:t>, as applied to an amendment, is focused on whether the amen</w:t>
      </w:r>
      <w:r w:rsidRPr="00F16794">
        <w:t>d</w:t>
      </w:r>
      <w:r w:rsidRPr="00F16794">
        <w:t xml:space="preserve">ment advances the mission of the </w:t>
      </w:r>
      <w:r w:rsidR="00A8411C">
        <w:t>holder</w:t>
      </w:r>
      <w:r w:rsidRPr="00F16794">
        <w:t>. An amendment that can be demonstrated to strengthen the conservation easement and a</w:t>
      </w:r>
      <w:r w:rsidRPr="00F16794">
        <w:t>d</w:t>
      </w:r>
      <w:r w:rsidRPr="00F16794">
        <w:t xml:space="preserve">vance achievement of conservation objectives is likely to pass the </w:t>
      </w:r>
      <w:r>
        <w:t>operational</w:t>
      </w:r>
      <w:r w:rsidRPr="00F16794">
        <w:t xml:space="preserve"> test.</w:t>
      </w:r>
    </w:p>
    <w:p w14:paraId="3CC6A61C" w14:textId="77777777" w:rsidR="000C654A" w:rsidRDefault="000C654A" w:rsidP="00822E3E">
      <w:pPr>
        <w:pStyle w:val="BodyBullet"/>
        <w:rPr>
          <w:b/>
        </w:rPr>
      </w:pPr>
      <w:r w:rsidRPr="00F16794">
        <w:rPr>
          <w:b/>
        </w:rPr>
        <w:t>Incidental benefit test (qualitative and quantit</w:t>
      </w:r>
      <w:r w:rsidRPr="00F16794">
        <w:rPr>
          <w:b/>
        </w:rPr>
        <w:t>a</w:t>
      </w:r>
      <w:r w:rsidRPr="00F16794">
        <w:rPr>
          <w:b/>
        </w:rPr>
        <w:t xml:space="preserve">tive). </w:t>
      </w:r>
      <w:r w:rsidRPr="00F16794">
        <w:t>Weighing the incidental benefit of an amendment is more difficult. Two general lines of inquiry have developed, and each is briefly su</w:t>
      </w:r>
      <w:r w:rsidRPr="00F16794">
        <w:t>m</w:t>
      </w:r>
      <w:r w:rsidRPr="00F16794">
        <w:t>marized in the following two sections.</w:t>
      </w:r>
    </w:p>
    <w:p w14:paraId="2BDF5152" w14:textId="77777777" w:rsidR="000C654A" w:rsidRDefault="000C654A" w:rsidP="000C654A">
      <w:pPr>
        <w:pStyle w:val="Heading3"/>
      </w:pPr>
      <w:bookmarkStart w:id="73" w:name="_Toc275788852"/>
      <w:r>
        <w:t>Qualitative Test</w:t>
      </w:r>
      <w:bookmarkEnd w:id="73"/>
    </w:p>
    <w:p w14:paraId="313F85C4" w14:textId="2FA673E8" w:rsidR="000C654A" w:rsidRPr="00687891" w:rsidRDefault="000C654A" w:rsidP="000C654A">
      <w:pPr>
        <w:pStyle w:val="BodyText"/>
      </w:pPr>
      <w:r>
        <w:t xml:space="preserve">A private benefit is incidental in a qualitative sense if </w:t>
      </w:r>
      <w:r w:rsidR="007C1651">
        <w:t>“</w:t>
      </w:r>
      <w:r>
        <w:t>the benefit to the public cannot be achieved without necessarily benefiting certain private individuals.</w:t>
      </w:r>
      <w:r w:rsidR="007C1651">
        <w:t>”</w:t>
      </w:r>
      <w:r>
        <w:rPr>
          <w:rStyle w:val="FootnoteReference"/>
        </w:rPr>
        <w:footnoteReference w:id="53"/>
      </w:r>
      <w:r>
        <w:t xml:space="preserve"> No specific guidance exists as to how this line of i</w:t>
      </w:r>
      <w:r>
        <w:t>n</w:t>
      </w:r>
      <w:r>
        <w:t xml:space="preserve">quiry applies to an amendment; however, the </w:t>
      </w:r>
      <w:r w:rsidR="00A8411C">
        <w:t>holder</w:t>
      </w:r>
      <w:r>
        <w:t xml:space="preserve"> may, and typically does, have a factual basis on which to conclude that, first, the proposed amendment would strengthen the easement and/or afford e</w:t>
      </w:r>
      <w:r>
        <w:t>n</w:t>
      </w:r>
      <w:r>
        <w:t>hanced protection for natural and scenic resources within or beyond the property; and, second, but for provisions in the amendment benefiting the landow</w:t>
      </w:r>
      <w:r>
        <w:t>n</w:t>
      </w:r>
      <w:r>
        <w:t xml:space="preserve">er, the </w:t>
      </w:r>
      <w:r w:rsidR="00A8411C">
        <w:t>holder</w:t>
      </w:r>
      <w:r>
        <w:t xml:space="preserve"> will not obtain these conservation gains benefiting the public interest.</w:t>
      </w:r>
    </w:p>
    <w:p w14:paraId="6CFB74E9" w14:textId="77777777" w:rsidR="000C654A" w:rsidRDefault="000C654A" w:rsidP="000C654A">
      <w:pPr>
        <w:pStyle w:val="Heading3"/>
      </w:pPr>
      <w:bookmarkStart w:id="74" w:name="_Toc275788853"/>
      <w:r>
        <w:t>Quantitative Test</w:t>
      </w:r>
      <w:bookmarkEnd w:id="74"/>
    </w:p>
    <w:p w14:paraId="05C0FE24" w14:textId="740342C4" w:rsidR="000C654A" w:rsidRPr="00E52376" w:rsidRDefault="000C654A" w:rsidP="000C654A">
      <w:pPr>
        <w:pStyle w:val="BodyText"/>
      </w:pPr>
      <w:r>
        <w:t>In addition to the qualitative test described above, a private benefit will not be considered incidental if it provides a substantial benefit to private interests, alb</w:t>
      </w:r>
      <w:r>
        <w:t>e</w:t>
      </w:r>
      <w:r>
        <w:t>it indirectly.</w:t>
      </w:r>
      <w:r>
        <w:rPr>
          <w:rStyle w:val="FootnoteReference"/>
        </w:rPr>
        <w:footnoteReference w:id="54"/>
      </w:r>
      <w:r>
        <w:t xml:space="preserve"> This line of inquiry is, from the </w:t>
      </w:r>
      <w:r w:rsidR="00A8411C">
        <w:t>holder</w:t>
      </w:r>
      <w:r w:rsidR="007C1651">
        <w:t>’</w:t>
      </w:r>
      <w:r>
        <w:t xml:space="preserve">s perspective, very difficult to apply to the particular set of facts and circumstances underlying a requested change. While it seems odd for the </w:t>
      </w:r>
      <w:r w:rsidR="00A8411C">
        <w:t>holder</w:t>
      </w:r>
      <w:r w:rsidR="007C1651">
        <w:t>’</w:t>
      </w:r>
      <w:r>
        <w:t xml:space="preserve">s </w:t>
      </w:r>
      <w:proofErr w:type="gramStart"/>
      <w:r>
        <w:t>tax e</w:t>
      </w:r>
      <w:r>
        <w:t>x</w:t>
      </w:r>
      <w:r>
        <w:t>empt</w:t>
      </w:r>
      <w:proofErr w:type="gramEnd"/>
      <w:r>
        <w:t xml:space="preserve"> status to be dependent upon factual matters beyond its ability to establish with any degree of ce</w:t>
      </w:r>
      <w:r>
        <w:t>r</w:t>
      </w:r>
      <w:r>
        <w:t xml:space="preserve">tainty, so long as that remains the rule applied by the Service, the </w:t>
      </w:r>
      <w:r w:rsidR="00A8411C">
        <w:t>holder</w:t>
      </w:r>
      <w:r>
        <w:t xml:space="preserve"> may want to require assurances from the requesting landowners</w:t>
      </w:r>
      <w:r>
        <w:rPr>
          <w:rStyle w:val="FootnoteReference"/>
        </w:rPr>
        <w:footnoteReference w:id="55"/>
      </w:r>
      <w:r>
        <w:t>.</w:t>
      </w:r>
    </w:p>
    <w:p w14:paraId="57E26958" w14:textId="77777777" w:rsidR="000C654A" w:rsidRDefault="000C654A" w:rsidP="000C654A">
      <w:pPr>
        <w:pStyle w:val="Heading2"/>
      </w:pPr>
      <w:bookmarkStart w:id="75" w:name="_Toc275788854"/>
      <w:bookmarkStart w:id="76" w:name="_Toc288819822"/>
      <w:r>
        <w:t>Illustration of Application of Qualitative and Quantitative Tests</w:t>
      </w:r>
      <w:bookmarkEnd w:id="75"/>
      <w:bookmarkEnd w:id="76"/>
    </w:p>
    <w:p w14:paraId="23F02CA3" w14:textId="77777777" w:rsidR="000C654A" w:rsidRDefault="000C654A" w:rsidP="000C654A">
      <w:pPr>
        <w:pStyle w:val="BodyText"/>
      </w:pPr>
      <w:r>
        <w:t>The following scenario illustrates a frequently encou</w:t>
      </w:r>
      <w:r>
        <w:t>n</w:t>
      </w:r>
      <w:r>
        <w:t>tered fact pattern encountered as a result of proposed amendments:</w:t>
      </w:r>
    </w:p>
    <w:p w14:paraId="4FED309F" w14:textId="7A99E55B" w:rsidR="000C654A" w:rsidRDefault="000C654A" w:rsidP="000C654A">
      <w:pPr>
        <w:pStyle w:val="BlockText"/>
      </w:pPr>
      <w:r>
        <w:rPr>
          <w:i/>
        </w:rPr>
        <w:t>Scenario</w:t>
      </w:r>
      <w:r w:rsidRPr="00FC416B">
        <w:rPr>
          <w:i/>
        </w:rPr>
        <w:t>.</w:t>
      </w:r>
      <w:r>
        <w:rPr>
          <w:i/>
        </w:rPr>
        <w:t xml:space="preserve"> </w:t>
      </w:r>
      <w:r>
        <w:t xml:space="preserve">An easement covenant allows selective thinning of a forested property. The grant does not define the meaning of </w:t>
      </w:r>
      <w:r w:rsidR="007C1651">
        <w:t>“</w:t>
      </w:r>
      <w:r>
        <w:t>selective</w:t>
      </w:r>
      <w:r w:rsidR="007C1651">
        <w:t>”</w:t>
      </w:r>
      <w:r>
        <w:t xml:space="preserve"> or </w:t>
      </w:r>
      <w:r w:rsidR="007C1651">
        <w:t>“</w:t>
      </w:r>
      <w:r>
        <w:t>thi</w:t>
      </w:r>
      <w:r>
        <w:t>n</w:t>
      </w:r>
      <w:r>
        <w:t>ning,</w:t>
      </w:r>
      <w:r w:rsidR="007C1651">
        <w:t>”</w:t>
      </w:r>
      <w:r>
        <w:t xml:space="preserve"> nor does it indicate what considerations, if any, need to be observed to minimize harmful impacts to wildlife, the soils, the streams, or the scenic character of the property. Other records do not provide </w:t>
      </w:r>
      <w:r w:rsidR="00A8411C">
        <w:t>holder</w:t>
      </w:r>
      <w:r>
        <w:t xml:space="preserve"> with meaningful guidance as to how the </w:t>
      </w:r>
      <w:r w:rsidR="00A8411C">
        <w:t>holder</w:t>
      </w:r>
      <w:r>
        <w:t xml:space="preserve"> should monitor, enforce or i</w:t>
      </w:r>
      <w:r>
        <w:t>n</w:t>
      </w:r>
      <w:r>
        <w:t xml:space="preserve">terpret this covenant. A second covenant restricts timber cutting on one portion of the property to </w:t>
      </w:r>
      <w:r w:rsidR="007C1651">
        <w:t>“</w:t>
      </w:r>
      <w:r>
        <w:t>personal use only.</w:t>
      </w:r>
      <w:r w:rsidR="007C1651">
        <w:t>”</w:t>
      </w:r>
      <w:r>
        <w:t xml:space="preserve"> </w:t>
      </w:r>
      <w:r w:rsidR="00A8411C">
        <w:t>Holder</w:t>
      </w:r>
      <w:r>
        <w:t xml:space="preserve"> recognizes the i</w:t>
      </w:r>
      <w:r>
        <w:t>m</w:t>
      </w:r>
      <w:r>
        <w:t>practicality of enforcing this restriction—having no ability to monitor who is using trees cut on the property. (</w:t>
      </w:r>
      <w:r w:rsidR="00A8411C">
        <w:t>Holder</w:t>
      </w:r>
      <w:r>
        <w:t xml:space="preserve"> suspects but can</w:t>
      </w:r>
      <w:r w:rsidR="007C1651">
        <w:t>’</w:t>
      </w:r>
      <w:r>
        <w:t>t confirm that trees are sometimes harvested for non-personal use.) Thus, in practice, these covenants do little to further the easement</w:t>
      </w:r>
      <w:r w:rsidR="007C1651">
        <w:t>’</w:t>
      </w:r>
      <w:r>
        <w:t>s conservation objectives or guide responsible management of the conserv</w:t>
      </w:r>
      <w:r>
        <w:t>a</w:t>
      </w:r>
      <w:r>
        <w:t xml:space="preserve">tion easement. </w:t>
      </w:r>
    </w:p>
    <w:p w14:paraId="596F2192" w14:textId="7F1B052B" w:rsidR="000C654A" w:rsidRDefault="000C654A" w:rsidP="000C654A">
      <w:pPr>
        <w:pStyle w:val="BlockText"/>
      </w:pPr>
      <w:r>
        <w:t xml:space="preserve">A proposed amendment desired by landowners (who are not insiders of the </w:t>
      </w:r>
      <w:r w:rsidR="00A8411C">
        <w:t>holder</w:t>
      </w:r>
      <w:r>
        <w:t xml:space="preserve">) and </w:t>
      </w:r>
      <w:r w:rsidR="00A8411C">
        <w:t>holder</w:t>
      </w:r>
      <w:r>
        <w:t xml:space="preserve"> changes these covenants to allow forestry in a</w:t>
      </w:r>
      <w:r>
        <w:t>c</w:t>
      </w:r>
      <w:r>
        <w:t>cordance with a forest management plan that must be prepared in accordance with strict stan</w:t>
      </w:r>
      <w:r>
        <w:t>d</w:t>
      </w:r>
      <w:r>
        <w:t>ards on harvesting and replanting to further the conservation objective of maintaining healthy fo</w:t>
      </w:r>
      <w:r>
        <w:t>r</w:t>
      </w:r>
      <w:r>
        <w:t xml:space="preserve">est while minimizing intrusion on habitats and preserving the scenic character of the property. The proposed amendment also affords the </w:t>
      </w:r>
      <w:r w:rsidR="00A8411C">
        <w:t>holder</w:t>
      </w:r>
      <w:r>
        <w:t xml:space="preserve"> the opportunity to update the grant to use the </w:t>
      </w:r>
      <w:r w:rsidR="00A8411C">
        <w:t>holder</w:t>
      </w:r>
      <w:r w:rsidR="007C1651">
        <w:t>’</w:t>
      </w:r>
      <w:r>
        <w:t xml:space="preserve">s present grant boilerplate, which would greatly enhance the </w:t>
      </w:r>
      <w:r w:rsidR="00A8411C">
        <w:t>holder</w:t>
      </w:r>
      <w:r w:rsidR="007C1651">
        <w:t>’</w:t>
      </w:r>
      <w:r>
        <w:t>s ability to manage the easement in furtherance of the conservation obje</w:t>
      </w:r>
      <w:r>
        <w:t>c</w:t>
      </w:r>
      <w:r>
        <w:t>tives.</w:t>
      </w:r>
    </w:p>
    <w:p w14:paraId="1767C7C4" w14:textId="77777777" w:rsidR="000C654A" w:rsidRPr="00FA3096" w:rsidRDefault="000C654A" w:rsidP="000C654A">
      <w:pPr>
        <w:pStyle w:val="Heading3"/>
      </w:pPr>
      <w:bookmarkStart w:id="77" w:name="_Toc275788855"/>
      <w:r>
        <w:t>Application of operational test</w:t>
      </w:r>
      <w:bookmarkEnd w:id="77"/>
      <w:r w:rsidRPr="00FA3096">
        <w:t xml:space="preserve"> </w:t>
      </w:r>
    </w:p>
    <w:p w14:paraId="036768FF" w14:textId="7F01844F" w:rsidR="000C654A" w:rsidRDefault="000C654A" w:rsidP="000C654A">
      <w:pPr>
        <w:pStyle w:val="BodyText"/>
      </w:pPr>
      <w:r>
        <w:t xml:space="preserve">The amendment furthers the mission of the </w:t>
      </w:r>
      <w:r w:rsidR="00A8411C">
        <w:t>holder</w:t>
      </w:r>
      <w:r>
        <w:t xml:space="preserve"> to protect natural and scenic resources and, specifically, furthers attainment of the conservation objectives of the easement. Thus, it conforms to the requirement that the amendment must primarily further the tax-exempt purposes of the </w:t>
      </w:r>
      <w:r w:rsidR="00A8411C">
        <w:t>holder</w:t>
      </w:r>
      <w:r>
        <w:t xml:space="preserve">. </w:t>
      </w:r>
    </w:p>
    <w:p w14:paraId="3133BA5B" w14:textId="77777777" w:rsidR="000C654A" w:rsidRPr="00FA3096" w:rsidRDefault="000C654A" w:rsidP="000C654A">
      <w:pPr>
        <w:pStyle w:val="Heading3"/>
      </w:pPr>
      <w:bookmarkStart w:id="78" w:name="_Toc275788856"/>
      <w:r w:rsidRPr="00FA3096">
        <w:t>Application of Qualitative Test</w:t>
      </w:r>
      <w:bookmarkEnd w:id="78"/>
      <w:r w:rsidRPr="00A07D69">
        <w:t xml:space="preserve"> </w:t>
      </w:r>
    </w:p>
    <w:p w14:paraId="288105FC" w14:textId="2D421496" w:rsidR="000C654A" w:rsidRDefault="000C654A" w:rsidP="000C654A">
      <w:pPr>
        <w:pStyle w:val="BodyText"/>
      </w:pPr>
      <w:r>
        <w:t>The next inquiry is whether any benefit to the lan</w:t>
      </w:r>
      <w:r>
        <w:t>d</w:t>
      </w:r>
      <w:r>
        <w:t xml:space="preserve">owner is qualitatively incidental. There is no question that, in the reasonable judgment of the board, this change is highly beneficial both to achievement of conservation objectives and responsible management of its charitable asset, the conservation easement. From the </w:t>
      </w:r>
      <w:r w:rsidR="00A8411C">
        <w:t>holder</w:t>
      </w:r>
      <w:r w:rsidR="007C1651">
        <w:t>’</w:t>
      </w:r>
      <w:r>
        <w:t>s perspective, the request for change is a welcome opportunity to strengthen the conserv</w:t>
      </w:r>
      <w:r>
        <w:t>a</w:t>
      </w:r>
      <w:r>
        <w:t>tion easement and modernize the grant. The improvements could not be achieved without allo</w:t>
      </w:r>
      <w:r>
        <w:t>w</w:t>
      </w:r>
      <w:r>
        <w:t xml:space="preserve">ing landowners to change the method of regulating acceptable forestry from a </w:t>
      </w:r>
      <w:r w:rsidRPr="002D2C8E">
        <w:rPr>
          <w:i/>
        </w:rPr>
        <w:t>selective thinning</w:t>
      </w:r>
      <w:r>
        <w:t xml:space="preserve"> standard to a </w:t>
      </w:r>
      <w:r w:rsidRPr="002D2C8E">
        <w:rPr>
          <w:i/>
        </w:rPr>
        <w:t>forest management plan</w:t>
      </w:r>
      <w:r>
        <w:t xml:space="preserve"> standard. The forest manag</w:t>
      </w:r>
      <w:r>
        <w:t>e</w:t>
      </w:r>
      <w:r>
        <w:t xml:space="preserve">ment plan is the standard used by the </w:t>
      </w:r>
      <w:r w:rsidR="00A8411C">
        <w:t>holder</w:t>
      </w:r>
      <w:r>
        <w:t xml:space="preserve"> anyway; thus, any benefit to the landowner is qualitatively i</w:t>
      </w:r>
      <w:r>
        <w:t>n</w:t>
      </w:r>
      <w:r>
        <w:t>cidental.</w:t>
      </w:r>
    </w:p>
    <w:p w14:paraId="78CF4E9D" w14:textId="77777777" w:rsidR="000C654A" w:rsidRDefault="000C654A" w:rsidP="000C654A">
      <w:pPr>
        <w:pStyle w:val="Heading3"/>
      </w:pPr>
      <w:bookmarkStart w:id="79" w:name="_Toc275788857"/>
      <w:r>
        <w:t>Application of Quantitative Test Results in No Clear Answers</w:t>
      </w:r>
      <w:bookmarkEnd w:id="79"/>
    </w:p>
    <w:p w14:paraId="4407D479" w14:textId="1F7EF8B6" w:rsidR="000C654A" w:rsidRPr="003634AB" w:rsidRDefault="000C654A" w:rsidP="000C654A">
      <w:pPr>
        <w:pStyle w:val="BodyText"/>
      </w:pPr>
      <w:r>
        <w:t xml:space="preserve">How does the </w:t>
      </w:r>
      <w:r w:rsidR="00A8411C">
        <w:t>holder</w:t>
      </w:r>
      <w:r>
        <w:t xml:space="preserve"> evaluate the profitability to landowner of (a) harvesting timber for sale in accor</w:t>
      </w:r>
      <w:r>
        <w:t>d</w:t>
      </w:r>
      <w:r>
        <w:t>ance with a forest management plan as compared to (b) harvesting trees based on landowner</w:t>
      </w:r>
      <w:r w:rsidR="007C1651">
        <w:t>’</w:t>
      </w:r>
      <w:r>
        <w:t>s own sele</w:t>
      </w:r>
      <w:r>
        <w:t>c</w:t>
      </w:r>
      <w:r>
        <w:t xml:space="preserve">tion criteria (whether or not disputed by </w:t>
      </w:r>
      <w:r w:rsidR="00A8411C">
        <w:t>holder</w:t>
      </w:r>
      <w:r>
        <w:t>)? What weight may be given to the cost to landowner of paying a forester to prepare (and update on a regular basis) the forest management plan? What weight may be given to the probability that the landowner is su</w:t>
      </w:r>
      <w:r>
        <w:t>r</w:t>
      </w:r>
      <w:r>
        <w:t xml:space="preserve">reptitiously harvesting trees for sale anyway? </w:t>
      </w:r>
      <w:r w:rsidRPr="00B73EFA">
        <w:t>The quantitative test is of little or no assistance applied to transactions that do not involve an exchange of goods and services in exchange for monetary consideration. Regulations</w:t>
      </w:r>
      <w:r w:rsidRPr="003634AB">
        <w:rPr>
          <w:rStyle w:val="FootnoteReference"/>
        </w:rPr>
        <w:footnoteReference w:id="56"/>
      </w:r>
      <w:r w:rsidRPr="003634AB">
        <w:t xml:space="preserve"> and other guidance issued by the Se</w:t>
      </w:r>
      <w:r w:rsidRPr="003634AB">
        <w:t>r</w:t>
      </w:r>
      <w:r w:rsidRPr="003634AB">
        <w:t>vice</w:t>
      </w:r>
      <w:r w:rsidRPr="003634AB">
        <w:rPr>
          <w:rStyle w:val="FootnoteReference"/>
        </w:rPr>
        <w:footnoteReference w:id="57"/>
      </w:r>
      <w:r w:rsidRPr="003634AB">
        <w:t xml:space="preserve"> are of little assistance in clarifying these issues.</w:t>
      </w:r>
    </w:p>
    <w:p w14:paraId="7B6EEE1C" w14:textId="77777777" w:rsidR="000C654A" w:rsidRDefault="000C654A" w:rsidP="000C654A">
      <w:pPr>
        <w:pStyle w:val="Heading1"/>
      </w:pPr>
      <w:bookmarkStart w:id="80" w:name="_Toc275788858"/>
      <w:bookmarkStart w:id="81" w:name="_Toc288819823"/>
      <w:proofErr w:type="gramStart"/>
      <w:r>
        <w:t>Quantitative Test Invalid as Applied to Easement Amendments?</w:t>
      </w:r>
      <w:bookmarkEnd w:id="80"/>
      <w:bookmarkEnd w:id="81"/>
      <w:proofErr w:type="gramEnd"/>
    </w:p>
    <w:p w14:paraId="69B1A54D" w14:textId="66E66BB5" w:rsidR="000C654A" w:rsidRPr="003634AB" w:rsidRDefault="000C654A" w:rsidP="000C654A">
      <w:r>
        <w:t xml:space="preserve">If the Service were to seek revocation of the tax-exempt status of a </w:t>
      </w:r>
      <w:r w:rsidR="00A8411C">
        <w:t>holder</w:t>
      </w:r>
      <w:r>
        <w:t xml:space="preserve"> on account of an amen</w:t>
      </w:r>
      <w:r>
        <w:t>d</w:t>
      </w:r>
      <w:r>
        <w:t>ment that passed the operational test and the qualitative test but failed the quantitative test because some benefit (actual or hypothetical and significant or not) may accrue to landowner as a result of the amendment, there are a number of issues that may be raised to counter such claim.</w:t>
      </w:r>
    </w:p>
    <w:p w14:paraId="5F1F61FF" w14:textId="77777777" w:rsidR="000C654A" w:rsidRDefault="000C654A" w:rsidP="000C654A">
      <w:pPr>
        <w:pStyle w:val="Heading2"/>
      </w:pPr>
      <w:bookmarkStart w:id="82" w:name="_Toc275788859"/>
      <w:bookmarkStart w:id="83" w:name="_Toc288819824"/>
      <w:r>
        <w:t>Administrative Rule Must Be Consistent with Statute and Regulations</w:t>
      </w:r>
      <w:bookmarkEnd w:id="82"/>
      <w:bookmarkEnd w:id="83"/>
    </w:p>
    <w:p w14:paraId="51FF6A79" w14:textId="06E2B79D" w:rsidR="000C654A" w:rsidRDefault="000C654A" w:rsidP="000C654A">
      <w:pPr>
        <w:pStyle w:val="BodyText"/>
      </w:pPr>
      <w:r>
        <w:t>The rationale for the private benefit rule (never expli</w:t>
      </w:r>
      <w:r>
        <w:t>c</w:t>
      </w:r>
      <w:r>
        <w:t>itly mentioned in the text of IRC§501(c)(3)) is to assure that tax-exempt charitable organizations continue to serve the public interest. The purpose of the discu</w:t>
      </w:r>
      <w:r>
        <w:t>s</w:t>
      </w:r>
      <w:r>
        <w:t>sion in this section is not to question the authority of the Service to revoke tax-exemption from organiz</w:t>
      </w:r>
      <w:r>
        <w:t>a</w:t>
      </w:r>
      <w:r>
        <w:t>tions who make grants available to individuals for non-charitable purposes or who engage in sweetheart deals purchasing goods and services from friends and affiliates for greater than fair value. However, an a</w:t>
      </w:r>
      <w:r>
        <w:t>d</w:t>
      </w:r>
      <w:r>
        <w:t xml:space="preserve">ministrative rule that, as applied, </w:t>
      </w:r>
      <w:r w:rsidRPr="00E130D3">
        <w:rPr>
          <w:i/>
        </w:rPr>
        <w:t xml:space="preserve">prevents </w:t>
      </w:r>
      <w:r>
        <w:t xml:space="preserve">a charity from serving the interest of the public contradicts the </w:t>
      </w:r>
      <w:r w:rsidR="005D2FF6">
        <w:t xml:space="preserve">Internal Revenue </w:t>
      </w:r>
      <w:r>
        <w:t>Code section from which it is d</w:t>
      </w:r>
      <w:r>
        <w:t>e</w:t>
      </w:r>
      <w:r>
        <w:t xml:space="preserve">rived. A rule that prevents consideration of the public benefit of a transaction (strengthening a conservation easement and assuring its long-term viability) because the other party to the transaction may economically benefit in any way, real or hypothetical, and in any amount (large or small) is invalid because it is not consistent with the IRC provision from which the rule is derived. </w:t>
      </w:r>
    </w:p>
    <w:p w14:paraId="4EA480F1" w14:textId="6574C546" w:rsidR="000C654A" w:rsidRDefault="000C654A" w:rsidP="000C654A">
      <w:pPr>
        <w:pStyle w:val="Heading2"/>
      </w:pPr>
      <w:bookmarkStart w:id="84" w:name="_Toc275788860"/>
      <w:bookmarkStart w:id="85" w:name="_Toc288819825"/>
      <w:r>
        <w:t>Quantitative Test Disregards Public Benefit</w:t>
      </w:r>
      <w:bookmarkEnd w:id="84"/>
      <w:bookmarkEnd w:id="85"/>
    </w:p>
    <w:p w14:paraId="17F3875A" w14:textId="19064D03" w:rsidR="000C654A" w:rsidRDefault="000C654A" w:rsidP="000C654A">
      <w:pPr>
        <w:rPr>
          <w:lang w:eastAsia="ja-JP"/>
        </w:rPr>
      </w:pPr>
      <w:r>
        <w:rPr>
          <w:lang w:eastAsia="ja-JP"/>
        </w:rPr>
        <w:t>The prohibition on private benefit is to assure that tax-exempt charitable organizations serve the public ben</w:t>
      </w:r>
      <w:r>
        <w:rPr>
          <w:lang w:eastAsia="ja-JP"/>
        </w:rPr>
        <w:t>e</w:t>
      </w:r>
      <w:r>
        <w:rPr>
          <w:lang w:eastAsia="ja-JP"/>
        </w:rPr>
        <w:t>fit. The IRC charitable exemption rules recognize that sometimes activities that serve the public benefit may also benefit private interests as well. The proper rel</w:t>
      </w:r>
      <w:r>
        <w:rPr>
          <w:lang w:eastAsia="ja-JP"/>
        </w:rPr>
        <w:t>a</w:t>
      </w:r>
      <w:r>
        <w:rPr>
          <w:lang w:eastAsia="ja-JP"/>
        </w:rPr>
        <w:t xml:space="preserve">tionship between public and private benefit is phrased as </w:t>
      </w:r>
      <w:r w:rsidR="007C1651">
        <w:rPr>
          <w:lang w:eastAsia="ja-JP"/>
        </w:rPr>
        <w:t>“</w:t>
      </w:r>
      <w:r>
        <w:rPr>
          <w:lang w:eastAsia="ja-JP"/>
        </w:rPr>
        <w:t>primarily</w:t>
      </w:r>
      <w:r w:rsidR="007C1651">
        <w:rPr>
          <w:lang w:eastAsia="ja-JP"/>
        </w:rPr>
        <w:t>”</w:t>
      </w:r>
      <w:r>
        <w:rPr>
          <w:lang w:eastAsia="ja-JP"/>
        </w:rPr>
        <w:t xml:space="preserve"> serving the public benefit. Another d</w:t>
      </w:r>
      <w:r>
        <w:rPr>
          <w:lang w:eastAsia="ja-JP"/>
        </w:rPr>
        <w:t>e</w:t>
      </w:r>
      <w:r>
        <w:rPr>
          <w:lang w:eastAsia="ja-JP"/>
        </w:rPr>
        <w:t xml:space="preserve">scription is that the benefit to private interests must be </w:t>
      </w:r>
      <w:r w:rsidR="007C1651">
        <w:rPr>
          <w:lang w:eastAsia="ja-JP"/>
        </w:rPr>
        <w:t>“</w:t>
      </w:r>
      <w:r>
        <w:rPr>
          <w:lang w:eastAsia="ja-JP"/>
        </w:rPr>
        <w:t>incidental.</w:t>
      </w:r>
      <w:r w:rsidR="007C1651">
        <w:rPr>
          <w:lang w:eastAsia="ja-JP"/>
        </w:rPr>
        <w:t>”</w:t>
      </w:r>
      <w:r>
        <w:rPr>
          <w:lang w:eastAsia="ja-JP"/>
        </w:rPr>
        <w:t xml:space="preserve"> Application of the quantitative test using a valuation method that disregards (rather than weighs) the public benefit of a transaction contradicts the intent of the IRC charitable exemption rules.</w:t>
      </w:r>
    </w:p>
    <w:p w14:paraId="749C4D73" w14:textId="77777777" w:rsidR="000C654A" w:rsidRDefault="000C654A" w:rsidP="000C654A">
      <w:pPr>
        <w:pStyle w:val="Heading3"/>
      </w:pPr>
      <w:bookmarkStart w:id="86" w:name="_Toc275788861"/>
      <w:r>
        <w:t>Public benefit is key factor</w:t>
      </w:r>
      <w:bookmarkEnd w:id="86"/>
    </w:p>
    <w:p w14:paraId="2B54391A" w14:textId="2B9CDC2C" w:rsidR="000C654A" w:rsidRDefault="000C654A" w:rsidP="000C654A">
      <w:pPr>
        <w:rPr>
          <w:lang w:eastAsia="ja-JP"/>
        </w:rPr>
      </w:pPr>
      <w:r>
        <w:rPr>
          <w:lang w:eastAsia="ja-JP"/>
        </w:rPr>
        <w:t>The Service has published guidance on whether a tax-exempt organization is serving the public benefit when it invests charitable assets in recreational facil</w:t>
      </w:r>
      <w:r>
        <w:rPr>
          <w:lang w:eastAsia="ja-JP"/>
        </w:rPr>
        <w:t>i</w:t>
      </w:r>
      <w:r>
        <w:rPr>
          <w:lang w:eastAsia="ja-JP"/>
        </w:rPr>
        <w:t>ties within a private club or community if, as a result, the facilities are inaccessible to the general public. The key (and only) factor targeted by the Service in this example was whether the recreational facilities will or will not be open to the public.</w:t>
      </w:r>
      <w:r>
        <w:rPr>
          <w:rStyle w:val="FootnoteReference"/>
          <w:lang w:eastAsia="ja-JP"/>
        </w:rPr>
        <w:footnoteReference w:id="58"/>
      </w:r>
      <w:r>
        <w:rPr>
          <w:lang w:eastAsia="ja-JP"/>
        </w:rPr>
        <w:t xml:space="preserve"> Lack of public access ended the inquiry as to whether the tax-exempt orga</w:t>
      </w:r>
      <w:r>
        <w:rPr>
          <w:lang w:eastAsia="ja-JP"/>
        </w:rPr>
        <w:t>n</w:t>
      </w:r>
      <w:r>
        <w:rPr>
          <w:lang w:eastAsia="ja-JP"/>
        </w:rPr>
        <w:t>ization served private rather than public interests. One lesson that may be learned from the recreational facil</w:t>
      </w:r>
      <w:r>
        <w:rPr>
          <w:lang w:eastAsia="ja-JP"/>
        </w:rPr>
        <w:t>i</w:t>
      </w:r>
      <w:r>
        <w:rPr>
          <w:lang w:eastAsia="ja-JP"/>
        </w:rPr>
        <w:t>ties guidance is that the main focus of the private benefit inquiry must be an examination of the public benefit of the tax-exempt organization</w:t>
      </w:r>
      <w:r w:rsidR="007C1651">
        <w:rPr>
          <w:lang w:eastAsia="ja-JP"/>
        </w:rPr>
        <w:t>’</w:t>
      </w:r>
      <w:r>
        <w:rPr>
          <w:lang w:eastAsia="ja-JP"/>
        </w:rPr>
        <w:t>s activities. A test that, as applied, disregards public benefit (in the case of an amendment, conservation benefit) must be rejected as contrary to the IRC charitable exemption rules.</w:t>
      </w:r>
    </w:p>
    <w:p w14:paraId="591F6BE4" w14:textId="77777777" w:rsidR="000C654A" w:rsidRDefault="000C654A" w:rsidP="000C654A">
      <w:pPr>
        <w:pStyle w:val="Heading3"/>
      </w:pPr>
      <w:bookmarkStart w:id="87" w:name="_Toc275788862"/>
      <w:r>
        <w:t>Intent to benefit public or private interest</w:t>
      </w:r>
      <w:bookmarkEnd w:id="87"/>
      <w:r>
        <w:t xml:space="preserve"> </w:t>
      </w:r>
    </w:p>
    <w:p w14:paraId="257AF4AE" w14:textId="4FD77A5E" w:rsidR="000C654A" w:rsidRDefault="000C654A" w:rsidP="000C654A">
      <w:pPr>
        <w:rPr>
          <w:lang w:eastAsia="ja-JP"/>
        </w:rPr>
      </w:pPr>
      <w:r>
        <w:rPr>
          <w:lang w:eastAsia="ja-JP"/>
        </w:rPr>
        <w:t>The guidance provided by the Service</w:t>
      </w:r>
      <w:r>
        <w:rPr>
          <w:rStyle w:val="FootnoteReference"/>
          <w:lang w:eastAsia="ja-JP"/>
        </w:rPr>
        <w:footnoteReference w:id="59"/>
      </w:r>
      <w:r>
        <w:rPr>
          <w:lang w:eastAsia="ja-JP"/>
        </w:rPr>
        <w:t xml:space="preserve"> suggests that the intent of the organization to advance public or private interests is a factor for consideration. Applic</w:t>
      </w:r>
      <w:r>
        <w:rPr>
          <w:lang w:eastAsia="ja-JP"/>
        </w:rPr>
        <w:t>a</w:t>
      </w:r>
      <w:r>
        <w:rPr>
          <w:lang w:eastAsia="ja-JP"/>
        </w:rPr>
        <w:t>tion of a mechanical test that rules out any consideration of the intent of the organization is also contrary to the IRC charitable rules. Intent to benefit the public is a factor worthy of consideration if only to determine whether private benefits were incidental or not.</w:t>
      </w:r>
      <w:r>
        <w:rPr>
          <w:rStyle w:val="FootnoteReference"/>
          <w:lang w:eastAsia="ja-JP"/>
        </w:rPr>
        <w:footnoteReference w:id="60"/>
      </w:r>
    </w:p>
    <w:p w14:paraId="79096B6F" w14:textId="77777777" w:rsidR="000C654A" w:rsidRDefault="000C654A" w:rsidP="000C654A">
      <w:pPr>
        <w:pStyle w:val="Heading2"/>
      </w:pPr>
      <w:bookmarkStart w:id="88" w:name="_Toc275788863"/>
      <w:bookmarkStart w:id="89" w:name="_Toc288819826"/>
      <w:r>
        <w:t>Before-and-After Valuation Inappropriate for Purposes of Weighing Public vs. Private Benefit</w:t>
      </w:r>
      <w:bookmarkEnd w:id="88"/>
      <w:bookmarkEnd w:id="89"/>
    </w:p>
    <w:p w14:paraId="796B7250" w14:textId="29423A72" w:rsidR="000C654A" w:rsidRDefault="000C654A" w:rsidP="000C654A">
      <w:pPr>
        <w:rPr>
          <w:lang w:eastAsia="ja-JP"/>
        </w:rPr>
      </w:pPr>
      <w:r>
        <w:rPr>
          <w:lang w:eastAsia="ja-JP"/>
        </w:rPr>
        <w:t xml:space="preserve">There is no support whatever in the IRC charitable exemption rules for disregarding the public benefit of an amendment in favor of an analysis that looks solely to private benefit. The crux of the problem, as applied to amendments, may be the notion that conservation easements have no value but for the monetary value established by the </w:t>
      </w:r>
      <w:r w:rsidR="007C1651">
        <w:rPr>
          <w:lang w:eastAsia="ja-JP"/>
        </w:rPr>
        <w:t>“</w:t>
      </w:r>
      <w:r>
        <w:rPr>
          <w:lang w:eastAsia="ja-JP"/>
        </w:rPr>
        <w:t>before and after</w:t>
      </w:r>
      <w:r w:rsidR="007C1651">
        <w:rPr>
          <w:lang w:eastAsia="ja-JP"/>
        </w:rPr>
        <w:t>”</w:t>
      </w:r>
      <w:r>
        <w:rPr>
          <w:lang w:eastAsia="ja-JP"/>
        </w:rPr>
        <w:t xml:space="preserve"> test required in certain instances under the IRC charitable gift rules. Monetary valuation is needed in the IRC charitable gift rules for the practical purpose of putting a figure on the allowable deduction for the donation of a co</w:t>
      </w:r>
      <w:r>
        <w:rPr>
          <w:lang w:eastAsia="ja-JP"/>
        </w:rPr>
        <w:t>n</w:t>
      </w:r>
      <w:r>
        <w:rPr>
          <w:lang w:eastAsia="ja-JP"/>
        </w:rPr>
        <w:t xml:space="preserve">servation easement. Monetary valuation also comes into play under the IRC charitable gift rules to put a figure on </w:t>
      </w:r>
      <w:r w:rsidR="00A8411C">
        <w:rPr>
          <w:lang w:eastAsia="ja-JP"/>
        </w:rPr>
        <w:t>holder</w:t>
      </w:r>
      <w:r w:rsidR="007C1651">
        <w:rPr>
          <w:lang w:eastAsia="ja-JP"/>
        </w:rPr>
        <w:t>’</w:t>
      </w:r>
      <w:r>
        <w:rPr>
          <w:lang w:eastAsia="ja-JP"/>
        </w:rPr>
        <w:t>s allocable share of proceeds of a condemnation or other easement extinguishment. In these cases, monetary valuation of a conservation easement is necessary to establish the value of the easement on the date it comes into existence or goes out of existence. The before-and-after test is sufficient in those cases because the measurement is a snapshot of value on a particular day. Analogizing to a co</w:t>
      </w:r>
      <w:r>
        <w:rPr>
          <w:lang w:eastAsia="ja-JP"/>
        </w:rPr>
        <w:t>m</w:t>
      </w:r>
      <w:r>
        <w:rPr>
          <w:lang w:eastAsia="ja-JP"/>
        </w:rPr>
        <w:t>mercial setting, book value may be a reasonable way to create a snapshot of the value of a company on the day it starts business or goes out of business but is not the only way (or the best way) to measure the value of a going concern with prospects for the future. That principle may be applied to valuation of conservation easements. The before-and-after valuation is not the only way (or the best way) to consider the worth of a viable, ongoing conservation easement with prospects for the future. Future conservation benefits anticipated from an amendment are an important element of va</w:t>
      </w:r>
      <w:r>
        <w:rPr>
          <w:lang w:eastAsia="ja-JP"/>
        </w:rPr>
        <w:t>l</w:t>
      </w:r>
      <w:r>
        <w:rPr>
          <w:lang w:eastAsia="ja-JP"/>
        </w:rPr>
        <w:t xml:space="preserve">ue and cannot be disregarded. </w:t>
      </w:r>
    </w:p>
    <w:p w14:paraId="2A0D63F8" w14:textId="77777777" w:rsidR="000C654A" w:rsidRDefault="000C654A" w:rsidP="000C654A">
      <w:pPr>
        <w:pStyle w:val="Heading3"/>
      </w:pPr>
      <w:bookmarkStart w:id="90" w:name="_Toc275788864"/>
      <w:r>
        <w:t>Monetization of conservation easement unnece</w:t>
      </w:r>
      <w:r>
        <w:t>s</w:t>
      </w:r>
      <w:r>
        <w:t>sary</w:t>
      </w:r>
      <w:bookmarkEnd w:id="90"/>
    </w:p>
    <w:p w14:paraId="5EC0F324" w14:textId="77777777" w:rsidR="000C654A" w:rsidRDefault="000C654A" w:rsidP="000C654A">
      <w:pPr>
        <w:rPr>
          <w:lang w:eastAsia="ja-JP"/>
        </w:rPr>
      </w:pPr>
      <w:r w:rsidRPr="00EA54CB">
        <w:rPr>
          <w:i/>
          <w:lang w:eastAsia="ja-JP"/>
        </w:rPr>
        <w:t>Research for this guide has found no guidance requiring use of the before-and-after method of valuation for purpose of weighing public vs. private benefit.</w:t>
      </w:r>
      <w:r>
        <w:rPr>
          <w:lang w:eastAsia="ja-JP"/>
        </w:rPr>
        <w:t xml:space="preserve"> Unlike the instances in the IRC charitable gifts (where a specific numeric value is needed) there is no need to monetize the va</w:t>
      </w:r>
      <w:r>
        <w:rPr>
          <w:lang w:eastAsia="ja-JP"/>
        </w:rPr>
        <w:t>l</w:t>
      </w:r>
      <w:r>
        <w:rPr>
          <w:lang w:eastAsia="ja-JP"/>
        </w:rPr>
        <w:t>ue of a conservation easement to determine whether or not an amendment is serving the public interest r</w:t>
      </w:r>
      <w:r>
        <w:rPr>
          <w:lang w:eastAsia="ja-JP"/>
        </w:rPr>
        <w:t>a</w:t>
      </w:r>
      <w:r>
        <w:rPr>
          <w:lang w:eastAsia="ja-JP"/>
        </w:rPr>
        <w:t>ther than a private interest. If there were a need to monetize value, there is no mandate in the IRC char</w:t>
      </w:r>
      <w:r>
        <w:rPr>
          <w:lang w:eastAsia="ja-JP"/>
        </w:rPr>
        <w:t>i</w:t>
      </w:r>
      <w:r>
        <w:rPr>
          <w:lang w:eastAsia="ja-JP"/>
        </w:rPr>
        <w:t>table gift rules requiring use of the before-and-after test, particularly as it produces a false, and unba</w:t>
      </w:r>
      <w:r>
        <w:rPr>
          <w:lang w:eastAsia="ja-JP"/>
        </w:rPr>
        <w:t>l</w:t>
      </w:r>
      <w:r>
        <w:rPr>
          <w:lang w:eastAsia="ja-JP"/>
        </w:rPr>
        <w:t xml:space="preserve">anced, result as explained below. </w:t>
      </w:r>
    </w:p>
    <w:p w14:paraId="2B3C81F3" w14:textId="77777777" w:rsidR="000C654A" w:rsidRDefault="000C654A" w:rsidP="000C654A">
      <w:pPr>
        <w:pStyle w:val="Heading3"/>
      </w:pPr>
      <w:bookmarkStart w:id="91" w:name="_Toc275788865"/>
      <w:r>
        <w:t>Before-and-after valuation from IRC charitable gift rules is misapplied to IRC charitable exemption rules</w:t>
      </w:r>
      <w:bookmarkEnd w:id="91"/>
    </w:p>
    <w:p w14:paraId="4B5200E6" w14:textId="0EA5DC30" w:rsidR="000C654A" w:rsidRDefault="000C654A" w:rsidP="000C654A">
      <w:pPr>
        <w:rPr>
          <w:lang w:eastAsia="ja-JP"/>
        </w:rPr>
      </w:pPr>
      <w:r>
        <w:rPr>
          <w:lang w:eastAsia="ja-JP"/>
        </w:rPr>
        <w:t xml:space="preserve">The </w:t>
      </w:r>
      <w:r w:rsidR="007C1651">
        <w:rPr>
          <w:lang w:eastAsia="ja-JP"/>
        </w:rPr>
        <w:t>“</w:t>
      </w:r>
      <w:r>
        <w:rPr>
          <w:lang w:eastAsia="ja-JP"/>
        </w:rPr>
        <w:t>before and after</w:t>
      </w:r>
      <w:r w:rsidR="007C1651">
        <w:rPr>
          <w:lang w:eastAsia="ja-JP"/>
        </w:rPr>
        <w:t>”</w:t>
      </w:r>
      <w:r>
        <w:rPr>
          <w:lang w:eastAsia="ja-JP"/>
        </w:rPr>
        <w:t xml:space="preserve"> method of valuing a conserv</w:t>
      </w:r>
      <w:r>
        <w:rPr>
          <w:lang w:eastAsia="ja-JP"/>
        </w:rPr>
        <w:t>a</w:t>
      </w:r>
      <w:r>
        <w:rPr>
          <w:lang w:eastAsia="ja-JP"/>
        </w:rPr>
        <w:t xml:space="preserve">tion easement puts a monetary value on the easement based upon the economic benefit or detriment to the landowners </w:t>
      </w:r>
      <w:r w:rsidR="0049794D">
        <w:rPr>
          <w:lang w:eastAsia="ja-JP"/>
        </w:rPr>
        <w:t>caused by the establishment</w:t>
      </w:r>
      <w:r>
        <w:rPr>
          <w:lang w:eastAsia="ja-JP"/>
        </w:rPr>
        <w:t xml:space="preserve"> of the eas</w:t>
      </w:r>
      <w:r>
        <w:rPr>
          <w:lang w:eastAsia="ja-JP"/>
        </w:rPr>
        <w:t>e</w:t>
      </w:r>
      <w:r>
        <w:rPr>
          <w:lang w:eastAsia="ja-JP"/>
        </w:rPr>
        <w:t xml:space="preserve">ment on their </w:t>
      </w:r>
      <w:r w:rsidR="0049794D">
        <w:rPr>
          <w:lang w:eastAsia="ja-JP"/>
        </w:rPr>
        <w:t>land</w:t>
      </w:r>
      <w:r>
        <w:rPr>
          <w:lang w:eastAsia="ja-JP"/>
        </w:rPr>
        <w:t xml:space="preserve">. Application of the </w:t>
      </w:r>
      <w:r w:rsidR="007C1651">
        <w:rPr>
          <w:lang w:eastAsia="ja-JP"/>
        </w:rPr>
        <w:t>“</w:t>
      </w:r>
      <w:r>
        <w:rPr>
          <w:lang w:eastAsia="ja-JP"/>
        </w:rPr>
        <w:t>before and after</w:t>
      </w:r>
      <w:r w:rsidR="007C1651">
        <w:rPr>
          <w:lang w:eastAsia="ja-JP"/>
        </w:rPr>
        <w:t>”</w:t>
      </w:r>
      <w:r>
        <w:rPr>
          <w:lang w:eastAsia="ja-JP"/>
        </w:rPr>
        <w:t xml:space="preserve"> valuation to amendments is inappropriate for several reasons. </w:t>
      </w:r>
    </w:p>
    <w:p w14:paraId="23F9452F" w14:textId="77777777" w:rsidR="000C654A" w:rsidRDefault="000C654A" w:rsidP="000C654A">
      <w:pPr>
        <w:pStyle w:val="Heading4"/>
      </w:pPr>
      <w:r>
        <w:t>Disregards non-monetary public benefit (conservation value)</w:t>
      </w:r>
    </w:p>
    <w:p w14:paraId="2CDFD672" w14:textId="74E61BEE" w:rsidR="000C654A" w:rsidRDefault="000C654A" w:rsidP="000C654A">
      <w:pPr>
        <w:rPr>
          <w:lang w:eastAsia="ja-JP"/>
        </w:rPr>
      </w:pPr>
      <w:r>
        <w:rPr>
          <w:lang w:eastAsia="ja-JP"/>
        </w:rPr>
        <w:t>The before-and-after valuation focuses only on the economic benefit to landowner</w:t>
      </w:r>
      <w:r w:rsidR="007C1651">
        <w:rPr>
          <w:lang w:eastAsia="ja-JP"/>
        </w:rPr>
        <w:t>’</w:t>
      </w:r>
      <w:r>
        <w:rPr>
          <w:lang w:eastAsia="ja-JP"/>
        </w:rPr>
        <w:t>s interest in the eased property due to the existence of the amended eas</w:t>
      </w:r>
      <w:r>
        <w:rPr>
          <w:lang w:eastAsia="ja-JP"/>
        </w:rPr>
        <w:t>e</w:t>
      </w:r>
      <w:r>
        <w:rPr>
          <w:lang w:eastAsia="ja-JP"/>
        </w:rPr>
        <w:t xml:space="preserve">ment. It ignores the benefit to </w:t>
      </w:r>
      <w:r w:rsidR="00A8411C">
        <w:rPr>
          <w:lang w:eastAsia="ja-JP"/>
        </w:rPr>
        <w:t>holder</w:t>
      </w:r>
      <w:r w:rsidR="007C1651">
        <w:rPr>
          <w:lang w:eastAsia="ja-JP"/>
        </w:rPr>
        <w:t>’</w:t>
      </w:r>
      <w:r>
        <w:rPr>
          <w:lang w:eastAsia="ja-JP"/>
        </w:rPr>
        <w:t>s easement interest due to the existence of the amended easement. That omission directly conflicts with the purpose of the public benefit test – to assure that the tax-exempt organization continues to serve the public in accor</w:t>
      </w:r>
      <w:r>
        <w:rPr>
          <w:lang w:eastAsia="ja-JP"/>
        </w:rPr>
        <w:t>d</w:t>
      </w:r>
      <w:r>
        <w:rPr>
          <w:lang w:eastAsia="ja-JP"/>
        </w:rPr>
        <w:t xml:space="preserve">ance with the purposes for which </w:t>
      </w:r>
      <w:proofErr w:type="gramStart"/>
      <w:r>
        <w:rPr>
          <w:lang w:eastAsia="ja-JP"/>
        </w:rPr>
        <w:t>tax exempt</w:t>
      </w:r>
      <w:proofErr w:type="gramEnd"/>
      <w:r>
        <w:rPr>
          <w:lang w:eastAsia="ja-JP"/>
        </w:rPr>
        <w:t xml:space="preserve"> status was given. </w:t>
      </w:r>
    </w:p>
    <w:p w14:paraId="22329A00" w14:textId="77777777" w:rsidR="000C654A" w:rsidRDefault="000C654A" w:rsidP="000C654A">
      <w:pPr>
        <w:pStyle w:val="Heading4"/>
      </w:pPr>
      <w:r>
        <w:t>Purpose of determining monetary value of easement under IRC charitable gift rules is different from determining co</w:t>
      </w:r>
      <w:r>
        <w:t>n</w:t>
      </w:r>
      <w:r>
        <w:t>servation value of easement under IRC charitable exemption rules</w:t>
      </w:r>
    </w:p>
    <w:p w14:paraId="0A4AA987" w14:textId="6405B337" w:rsidR="000C654A" w:rsidRPr="0098478D" w:rsidRDefault="000C654A" w:rsidP="000C654A">
      <w:pPr>
        <w:rPr>
          <w:lang w:eastAsia="ja-JP"/>
        </w:rPr>
      </w:pPr>
      <w:r>
        <w:rPr>
          <w:lang w:eastAsia="ja-JP"/>
        </w:rPr>
        <w:t>The value of a conservation easement for purposes of the IRC charitable exemption rules is the easement</w:t>
      </w:r>
      <w:r w:rsidR="007C1651">
        <w:rPr>
          <w:lang w:eastAsia="ja-JP"/>
        </w:rPr>
        <w:t>’</w:t>
      </w:r>
      <w:r>
        <w:rPr>
          <w:lang w:eastAsia="ja-JP"/>
        </w:rPr>
        <w:t>s strength and viability as a tool to protect natural and scenic resources within the eased property. The public benefit derived from those conservation values may increase whether the value of landowner</w:t>
      </w:r>
      <w:r w:rsidR="007C1651">
        <w:rPr>
          <w:lang w:eastAsia="ja-JP"/>
        </w:rPr>
        <w:t>’</w:t>
      </w:r>
      <w:r>
        <w:rPr>
          <w:lang w:eastAsia="ja-JP"/>
        </w:rPr>
        <w:t>s interest i</w:t>
      </w:r>
      <w:r>
        <w:rPr>
          <w:lang w:eastAsia="ja-JP"/>
        </w:rPr>
        <w:t>n</w:t>
      </w:r>
      <w:r>
        <w:rPr>
          <w:lang w:eastAsia="ja-JP"/>
        </w:rPr>
        <w:t>creases, decreases or stays the same.</w:t>
      </w:r>
    </w:p>
    <w:p w14:paraId="6D564402" w14:textId="77777777" w:rsidR="000C654A" w:rsidRDefault="000C654A" w:rsidP="000C654A">
      <w:pPr>
        <w:pStyle w:val="Heading4"/>
      </w:pPr>
      <w:r>
        <w:t>Application of before-and-after valuation produces false, and unbalanced, result</w:t>
      </w:r>
    </w:p>
    <w:p w14:paraId="217BE1C3" w14:textId="77777777" w:rsidR="000C654A" w:rsidRDefault="000C654A" w:rsidP="000C654A">
      <w:pPr>
        <w:rPr>
          <w:lang w:eastAsia="ja-JP"/>
        </w:rPr>
      </w:pPr>
      <w:r>
        <w:rPr>
          <w:lang w:eastAsia="ja-JP"/>
        </w:rPr>
        <w:t>Application of the before-and-after valuation for pu</w:t>
      </w:r>
      <w:r>
        <w:rPr>
          <w:lang w:eastAsia="ja-JP"/>
        </w:rPr>
        <w:t>r</w:t>
      </w:r>
      <w:r>
        <w:rPr>
          <w:lang w:eastAsia="ja-JP"/>
        </w:rPr>
        <w:t xml:space="preserve">poses of the quantitative test will always result in a gross miscalculation. </w:t>
      </w:r>
      <w:proofErr w:type="gramStart"/>
      <w:r>
        <w:rPr>
          <w:lang w:eastAsia="ja-JP"/>
        </w:rPr>
        <w:t>The only amendments that pass the quantitative test using the before and after valu</w:t>
      </w:r>
      <w:r>
        <w:rPr>
          <w:lang w:eastAsia="ja-JP"/>
        </w:rPr>
        <w:t>a</w:t>
      </w:r>
      <w:r>
        <w:rPr>
          <w:lang w:eastAsia="ja-JP"/>
        </w:rPr>
        <w:t>tion are amendments that decrease the value of the eased property.</w:t>
      </w:r>
      <w:proofErr w:type="gramEnd"/>
      <w:r>
        <w:rPr>
          <w:lang w:eastAsia="ja-JP"/>
        </w:rPr>
        <w:t xml:space="preserve"> The unfounded assumptions and i</w:t>
      </w:r>
      <w:r>
        <w:rPr>
          <w:lang w:eastAsia="ja-JP"/>
        </w:rPr>
        <w:t>l</w:t>
      </w:r>
      <w:r>
        <w:rPr>
          <w:lang w:eastAsia="ja-JP"/>
        </w:rPr>
        <w:t>logical reasoning that underlies the application of the before-and-after valuation to easement amendments are as follows:</w:t>
      </w:r>
    </w:p>
    <w:p w14:paraId="2890B202" w14:textId="77777777" w:rsidR="000C654A" w:rsidRPr="00BE03C8" w:rsidRDefault="000C654A" w:rsidP="00822E3E">
      <w:pPr>
        <w:pStyle w:val="BodyBullet"/>
        <w:rPr>
          <w:lang w:eastAsia="ja-JP"/>
        </w:rPr>
      </w:pPr>
      <w:r w:rsidRPr="00BE03C8">
        <w:rPr>
          <w:lang w:eastAsia="ja-JP"/>
        </w:rPr>
        <w:t xml:space="preserve">The </w:t>
      </w:r>
      <w:r>
        <w:rPr>
          <w:lang w:eastAsia="ja-JP"/>
        </w:rPr>
        <w:t>validity of the before-and-after test for pu</w:t>
      </w:r>
      <w:r>
        <w:rPr>
          <w:lang w:eastAsia="ja-JP"/>
        </w:rPr>
        <w:t>r</w:t>
      </w:r>
      <w:r>
        <w:rPr>
          <w:lang w:eastAsia="ja-JP"/>
        </w:rPr>
        <w:t xml:space="preserve">poses of determining public benefit rests on the </w:t>
      </w:r>
      <w:r w:rsidRPr="00BE03C8">
        <w:rPr>
          <w:lang w:eastAsia="ja-JP"/>
        </w:rPr>
        <w:t xml:space="preserve">unsupported (and untrue) assumption that the only value worth considering is </w:t>
      </w:r>
      <w:r>
        <w:rPr>
          <w:lang w:eastAsia="ja-JP"/>
        </w:rPr>
        <w:t xml:space="preserve">the </w:t>
      </w:r>
      <w:r w:rsidRPr="00BE03C8">
        <w:rPr>
          <w:lang w:eastAsia="ja-JP"/>
        </w:rPr>
        <w:t>monetary value</w:t>
      </w:r>
      <w:r>
        <w:rPr>
          <w:lang w:eastAsia="ja-JP"/>
        </w:rPr>
        <w:t xml:space="preserve"> of the land encumbered by the easement</w:t>
      </w:r>
      <w:r w:rsidRPr="00BE03C8">
        <w:rPr>
          <w:lang w:eastAsia="ja-JP"/>
        </w:rPr>
        <w:t>. Public benefit value is given no weight in the evaluation and, as discussed above, that contr</w:t>
      </w:r>
      <w:r w:rsidRPr="00BE03C8">
        <w:rPr>
          <w:lang w:eastAsia="ja-JP"/>
        </w:rPr>
        <w:t>a</w:t>
      </w:r>
      <w:r w:rsidRPr="00BE03C8">
        <w:rPr>
          <w:lang w:eastAsia="ja-JP"/>
        </w:rPr>
        <w:t>dicts the IRC charitable exemption rules.</w:t>
      </w:r>
    </w:p>
    <w:p w14:paraId="5209CB18" w14:textId="77777777" w:rsidR="000C654A" w:rsidRDefault="000C654A" w:rsidP="00822E3E">
      <w:pPr>
        <w:pStyle w:val="BodyBullet"/>
        <w:rPr>
          <w:lang w:eastAsia="ja-JP"/>
        </w:rPr>
      </w:pPr>
      <w:r>
        <w:rPr>
          <w:lang w:eastAsia="ja-JP"/>
        </w:rPr>
        <w:t>The before-and-after valuation method is founded on the assumption that land value plus easement value always equals 100% of value. That is not true. The value of an easement (a separate prope</w:t>
      </w:r>
      <w:r>
        <w:rPr>
          <w:lang w:eastAsia="ja-JP"/>
        </w:rPr>
        <w:t>r</w:t>
      </w:r>
      <w:r>
        <w:rPr>
          <w:lang w:eastAsia="ja-JP"/>
        </w:rPr>
        <w:t>ty interest) may increase at the same time the value of the land increases. They are not linked in an inverse proportionality relationship.</w:t>
      </w:r>
    </w:p>
    <w:p w14:paraId="5CC145C9" w14:textId="77777777" w:rsidR="000C654A" w:rsidRDefault="000C654A" w:rsidP="000C654A">
      <w:pPr>
        <w:pStyle w:val="Heading2"/>
      </w:pPr>
      <w:bookmarkStart w:id="92" w:name="_Toc275788866"/>
      <w:bookmarkStart w:id="93" w:name="_Toc288819827"/>
      <w:r>
        <w:t>Consideration of Non-monetary Public Benefit is Required by IRC Charitable Exemption Rules</w:t>
      </w:r>
      <w:bookmarkEnd w:id="92"/>
      <w:bookmarkEnd w:id="93"/>
    </w:p>
    <w:p w14:paraId="7D9F29B3" w14:textId="04990149" w:rsidR="000C654A" w:rsidRPr="009B3CCC" w:rsidRDefault="000C654A" w:rsidP="000C654A">
      <w:pPr>
        <w:rPr>
          <w:lang w:eastAsia="ja-JP"/>
        </w:rPr>
      </w:pPr>
      <w:r>
        <w:rPr>
          <w:lang w:eastAsia="ja-JP"/>
        </w:rPr>
        <w:t>Comparison of the public benefit in relationship to possible private benefit is the foundation of the IRC charitable exemption rules applicable to private ben</w:t>
      </w:r>
      <w:r>
        <w:rPr>
          <w:lang w:eastAsia="ja-JP"/>
        </w:rPr>
        <w:t>e</w:t>
      </w:r>
      <w:r>
        <w:rPr>
          <w:lang w:eastAsia="ja-JP"/>
        </w:rPr>
        <w:t>fit. If no weight is given to the non-monetary conservation value of the amendment, then any o</w:t>
      </w:r>
      <w:r>
        <w:rPr>
          <w:lang w:eastAsia="ja-JP"/>
        </w:rPr>
        <w:t>p</w:t>
      </w:r>
      <w:r>
        <w:rPr>
          <w:lang w:eastAsia="ja-JP"/>
        </w:rPr>
        <w:t>portunity to weigh the public benefit vs. private benefit is precluded. Such an approach is invalid b</w:t>
      </w:r>
      <w:r>
        <w:rPr>
          <w:lang w:eastAsia="ja-JP"/>
        </w:rPr>
        <w:t>e</w:t>
      </w:r>
      <w:r>
        <w:rPr>
          <w:lang w:eastAsia="ja-JP"/>
        </w:rPr>
        <w:t xml:space="preserve">cause it is in direct opposition to the private benefit rules, which require weighing the conservation value to the </w:t>
      </w:r>
      <w:r w:rsidR="00A8411C">
        <w:rPr>
          <w:lang w:eastAsia="ja-JP"/>
        </w:rPr>
        <w:t>holder</w:t>
      </w:r>
      <w:r>
        <w:rPr>
          <w:lang w:eastAsia="ja-JP"/>
        </w:rPr>
        <w:t xml:space="preserve"> (and to the public) of an amended eas</w:t>
      </w:r>
      <w:r>
        <w:rPr>
          <w:lang w:eastAsia="ja-JP"/>
        </w:rPr>
        <w:t>e</w:t>
      </w:r>
      <w:r>
        <w:rPr>
          <w:lang w:eastAsia="ja-JP"/>
        </w:rPr>
        <w:t xml:space="preserve">ment. </w:t>
      </w:r>
    </w:p>
    <w:p w14:paraId="5E0FB7A1" w14:textId="77777777" w:rsidR="000C654A" w:rsidRPr="009E40BE" w:rsidRDefault="000C654A" w:rsidP="000C654A">
      <w:pPr>
        <w:pStyle w:val="Heading1"/>
        <w:rPr>
          <w:lang w:eastAsia="ja-JP"/>
        </w:rPr>
      </w:pPr>
      <w:bookmarkStart w:id="94" w:name="_Toc275788867"/>
      <w:bookmarkStart w:id="95" w:name="_Toc288819828"/>
      <w:r>
        <w:rPr>
          <w:lang w:eastAsia="ja-JP"/>
        </w:rPr>
        <w:t>Harmonize Quantitative Test with Other Avenues of Inquiry to Evaluate Permissible (or Impermissible) Private Benefit</w:t>
      </w:r>
      <w:bookmarkEnd w:id="94"/>
      <w:bookmarkEnd w:id="95"/>
    </w:p>
    <w:p w14:paraId="1C048238" w14:textId="77777777" w:rsidR="000C654A" w:rsidRDefault="000C654A" w:rsidP="000C654A">
      <w:r>
        <w:t>The Service, or a court considering the issue, may adopt another avenue of inquiry to substitute for the quantitative test as applied to transactions, such as easement amendments, that generate benefits that are not quantifiable by monetary valuation. A number of these avenues for inquiry have been adopted in the IRC charitable gift rules and may serve as models to apply to inquiries pertaining to public (or private) benefit of easement amendments.</w:t>
      </w:r>
    </w:p>
    <w:p w14:paraId="740452F1" w14:textId="77777777" w:rsidR="000C654A" w:rsidRDefault="000C654A" w:rsidP="000C654A">
      <w:pPr>
        <w:pStyle w:val="Heading2"/>
      </w:pPr>
      <w:bookmarkStart w:id="96" w:name="_Toc275788868"/>
      <w:bookmarkStart w:id="97" w:name="_Toc288819829"/>
      <w:r>
        <w:t>Apply Standard Applicable to Excess Benefit Transactions</w:t>
      </w:r>
      <w:bookmarkEnd w:id="96"/>
      <w:bookmarkEnd w:id="97"/>
    </w:p>
    <w:p w14:paraId="64EED505" w14:textId="77777777" w:rsidR="000C654A" w:rsidRDefault="000C654A" w:rsidP="000C654A">
      <w:pPr>
        <w:pStyle w:val="BodyText"/>
      </w:pPr>
      <w:r>
        <w:t>One possibility that the Service, or a court considering the issue, may adopt as a substitute for the quantit</w:t>
      </w:r>
      <w:r>
        <w:t>a</w:t>
      </w:r>
      <w:r>
        <w:t>tive test is to incorporate the rebuttable presumption of reasonableness as is contained in regulations issued with respect to excess benefit transactions.</w:t>
      </w:r>
      <w:r>
        <w:rPr>
          <w:rStyle w:val="FootnoteReference"/>
        </w:rPr>
        <w:footnoteReference w:id="61"/>
      </w:r>
      <w:r>
        <w:t xml:space="preserve"> </w:t>
      </w:r>
    </w:p>
    <w:p w14:paraId="396F0931" w14:textId="77777777" w:rsidR="000C654A" w:rsidRDefault="000C654A" w:rsidP="000C654A">
      <w:pPr>
        <w:pStyle w:val="Heading3"/>
      </w:pPr>
      <w:bookmarkStart w:id="98" w:name="_Toc275788869"/>
      <w:r>
        <w:t>Factors qualifying for rebuttable presumption of reasonableness</w:t>
      </w:r>
      <w:bookmarkEnd w:id="98"/>
    </w:p>
    <w:p w14:paraId="73C0779C" w14:textId="77777777" w:rsidR="000C654A" w:rsidRDefault="000C654A" w:rsidP="000C654A">
      <w:pPr>
        <w:pStyle w:val="BodyText"/>
      </w:pPr>
      <w:r>
        <w:t xml:space="preserve">The excess benefit test provides that payments under a compensation arrangement are entitled to a </w:t>
      </w:r>
      <w:r w:rsidRPr="00865241">
        <w:rPr>
          <w:i/>
        </w:rPr>
        <w:t>rebuttable presumption of reasonableness</w:t>
      </w:r>
      <w:r>
        <w:t xml:space="preserve"> if the following three el</w:t>
      </w:r>
      <w:r>
        <w:t>e</w:t>
      </w:r>
      <w:r>
        <w:t xml:space="preserve">ments are met: (a) a disinterested body of the </w:t>
      </w:r>
      <w:proofErr w:type="gramStart"/>
      <w:r>
        <w:t>organization,</w:t>
      </w:r>
      <w:proofErr w:type="gramEnd"/>
      <w:r>
        <w:t xml:space="preserve"> (b) relies on comparable data and (3) properly documents the basis for the decision. </w:t>
      </w:r>
    </w:p>
    <w:p w14:paraId="39B9A192" w14:textId="77777777" w:rsidR="000C654A" w:rsidRDefault="000C654A" w:rsidP="000C654A">
      <w:pPr>
        <w:pStyle w:val="Heading3"/>
      </w:pPr>
      <w:bookmarkStart w:id="99" w:name="_Toc275788870"/>
      <w:r>
        <w:t>Example based on amendment scenario</w:t>
      </w:r>
      <w:bookmarkEnd w:id="99"/>
    </w:p>
    <w:p w14:paraId="2178284C" w14:textId="77777777" w:rsidR="000C654A" w:rsidRDefault="000C654A" w:rsidP="000C654A">
      <w:pPr>
        <w:pStyle w:val="BodyText"/>
      </w:pPr>
      <w:r>
        <w:t xml:space="preserve">The example below illustrates how this test might be adapted to determine whether an economic benefit was or was not incidental: </w:t>
      </w:r>
    </w:p>
    <w:p w14:paraId="19AE9F50" w14:textId="2BF19531" w:rsidR="000C654A" w:rsidRDefault="000C654A" w:rsidP="000C654A">
      <w:pPr>
        <w:pStyle w:val="BodyText"/>
      </w:pPr>
      <w:r>
        <w:rPr>
          <w:i/>
        </w:rPr>
        <w:t xml:space="preserve">Example: </w:t>
      </w:r>
      <w:r>
        <w:t>The requested change is to eliminate unce</w:t>
      </w:r>
      <w:r>
        <w:t>r</w:t>
      </w:r>
      <w:r>
        <w:t>tainty in the grant about whether or not subsurface (horizontal) drilling for natural gas is permitted wit</w:t>
      </w:r>
      <w:r>
        <w:t>h</w:t>
      </w:r>
      <w:r>
        <w:t xml:space="preserve">in the Property. The existing grant does not address the issue with any clarity. The proposed amendment will incorporate into the existing grant exactly the same rules as are applied to other landowners under the Model Grant used by </w:t>
      </w:r>
      <w:r w:rsidR="00A8411C">
        <w:t>holder</w:t>
      </w:r>
      <w:r>
        <w:t xml:space="preserve">. The incorporation of Model Grant provisions will eliminate the possibility of an interpretation of the existing grant permitting surface disturbance of the property (which would be highly detrimental to natural and scenic resources) and would empower the </w:t>
      </w:r>
      <w:r w:rsidR="00A8411C">
        <w:t>holder</w:t>
      </w:r>
      <w:r>
        <w:t xml:space="preserve"> to monitor plans and implementation of the drilling so as to minimize a</w:t>
      </w:r>
      <w:r>
        <w:t>d</w:t>
      </w:r>
      <w:r>
        <w:t>verse effects on water quality and other resources protected by the easement. On the other hand, the immediate effect of the amendment will be that the landowners will enter into a lucrative lease of the na</w:t>
      </w:r>
      <w:r>
        <w:t>t</w:t>
      </w:r>
      <w:r>
        <w:t>ural gas deposits within their property.</w:t>
      </w:r>
    </w:p>
    <w:p w14:paraId="5B228046" w14:textId="77777777" w:rsidR="000C654A" w:rsidRDefault="000C654A" w:rsidP="000C654A">
      <w:pPr>
        <w:pStyle w:val="Heading3"/>
      </w:pPr>
      <w:bookmarkStart w:id="100" w:name="_Toc275788871"/>
      <w:r>
        <w:t>Application of rebuttable presumption of reason</w:t>
      </w:r>
      <w:r>
        <w:t>a</w:t>
      </w:r>
      <w:r>
        <w:t>bleness to amendment scenario</w:t>
      </w:r>
      <w:bookmarkEnd w:id="100"/>
    </w:p>
    <w:p w14:paraId="559FF0D1" w14:textId="7F416AC1" w:rsidR="000C654A" w:rsidRPr="00400935" w:rsidRDefault="000C654A" w:rsidP="000C654A">
      <w:pPr>
        <w:pStyle w:val="BodyText"/>
      </w:pPr>
      <w:r>
        <w:t>If a variation of the excess benefits test were applied to the above example, the economic benefit to landow</w:t>
      </w:r>
      <w:r>
        <w:t>n</w:t>
      </w:r>
      <w:r>
        <w:t>ers following the amendment would be entitled to a rebuttable presumption that it was incidental if a) the directors considering the proposed amendment were all disinterested; b) the proposed amendment does not treat the requesting landowners any differently from other landowners (</w:t>
      </w:r>
      <w:r w:rsidR="00A8411C">
        <w:t>holder</w:t>
      </w:r>
      <w:r w:rsidR="007C1651">
        <w:t>’</w:t>
      </w:r>
      <w:r>
        <w:t>s policy, consistent with other reputable land trusts, is to allow underground, but not surface, drilling); and c) the information on which the board</w:t>
      </w:r>
      <w:r w:rsidR="007C1651">
        <w:t>’</w:t>
      </w:r>
      <w:r>
        <w:t>s decision was based and the minutes of the meeting in which the amendment was adopted contain a reasonable basis on which to conclude that the directors acted in good faith and for the purpose of serving the public interest in preserving the conserv</w:t>
      </w:r>
      <w:r>
        <w:t>a</w:t>
      </w:r>
      <w:r>
        <w:t xml:space="preserve">tion values of the property. On the other hand, if factors a) and c) remain the same but the </w:t>
      </w:r>
      <w:r w:rsidR="00A8411C">
        <w:t>holder</w:t>
      </w:r>
      <w:r w:rsidR="007C1651">
        <w:t>’</w:t>
      </w:r>
      <w:r>
        <w:t>s po</w:t>
      </w:r>
      <w:r>
        <w:t>l</w:t>
      </w:r>
      <w:r>
        <w:t>icy, consistent with other reputable land trusts, is to disallow all drilling (whether underground or surface) then approval of the amendment allowing subsurface drilling will create a presumption of economic benefit (which may be overcome by other compelling justif</w:t>
      </w:r>
      <w:r>
        <w:t>i</w:t>
      </w:r>
      <w:r>
        <w:t>cations).</w:t>
      </w:r>
    </w:p>
    <w:p w14:paraId="73E677A3" w14:textId="77777777" w:rsidR="000C654A" w:rsidRDefault="000C654A" w:rsidP="000C654A">
      <w:pPr>
        <w:pStyle w:val="Heading2"/>
      </w:pPr>
      <w:bookmarkStart w:id="101" w:name="_Toc275788872"/>
      <w:bookmarkStart w:id="102" w:name="_Toc288819830"/>
      <w:r>
        <w:t>Apply Standard Applicable to Private Inurement Inquiry</w:t>
      </w:r>
      <w:bookmarkEnd w:id="101"/>
      <w:bookmarkEnd w:id="102"/>
    </w:p>
    <w:p w14:paraId="6B888FC3" w14:textId="06075F81" w:rsidR="000C654A" w:rsidRDefault="000C654A" w:rsidP="000C654A">
      <w:pPr>
        <w:pStyle w:val="BodyText"/>
      </w:pPr>
      <w:r>
        <w:t>The inquiry to determine whether an insider is ben</w:t>
      </w:r>
      <w:r>
        <w:t>e</w:t>
      </w:r>
      <w:r>
        <w:t xml:space="preserve">fitting unfairly due to its relationship with </w:t>
      </w:r>
      <w:r w:rsidR="00A8411C">
        <w:t>holder</w:t>
      </w:r>
      <w:r>
        <w:t xml:space="preserve"> is to question whether the insider is being treated the same as any other landowner. In the above example, the d</w:t>
      </w:r>
      <w:r>
        <w:t>i</w:t>
      </w:r>
      <w:r>
        <w:t>rectors have weighed the deficiencies and vulnerabilities of the existing grant and proposed to treat the requesting landowner the same as any other landowner subject to the Model Grant. Nevertheless, strict application of the quantitative test would rule out such an amendment. Why should the test applic</w:t>
      </w:r>
      <w:r>
        <w:t>a</w:t>
      </w:r>
      <w:r>
        <w:t xml:space="preserve">ble to a transaction with a non-insider be more stringent than a transaction with an insider? Applying the standard applicable to insider benefits, the inquiry to determine the existence of impermissible private benefit would be: Does the amendment result in any economic benefit to landowner different from the standards applied by </w:t>
      </w:r>
      <w:r w:rsidR="00A8411C">
        <w:t>holder</w:t>
      </w:r>
      <w:r>
        <w:t xml:space="preserve"> to evaluate easements proposed for acceptance as of the amendment date?</w:t>
      </w:r>
      <w:r w:rsidRPr="007220BD">
        <w:t xml:space="preserve"> </w:t>
      </w:r>
    </w:p>
    <w:p w14:paraId="71002D3D" w14:textId="77777777" w:rsidR="000C654A" w:rsidRDefault="000C654A" w:rsidP="000C654A">
      <w:pPr>
        <w:pStyle w:val="Heading2"/>
      </w:pPr>
      <w:bookmarkStart w:id="103" w:name="_Toc275788873"/>
      <w:bookmarkStart w:id="104" w:name="_Toc288819831"/>
      <w:r>
        <w:t>Apply the Private Benefit Test so as to be Consistent with Governance Responsibilities of Directors</w:t>
      </w:r>
      <w:bookmarkEnd w:id="103"/>
      <w:bookmarkEnd w:id="104"/>
    </w:p>
    <w:p w14:paraId="2ED471AD" w14:textId="77777777" w:rsidR="000C654A" w:rsidRDefault="000C654A" w:rsidP="000C654A">
      <w:pPr>
        <w:pStyle w:val="BodyText"/>
      </w:pPr>
      <w:r>
        <w:t xml:space="preserve">The directors in the above example are caught in a predicament. </w:t>
      </w:r>
    </w:p>
    <w:p w14:paraId="2719BEB5" w14:textId="29156505" w:rsidR="000C654A" w:rsidRDefault="000C654A" w:rsidP="000C654A">
      <w:pPr>
        <w:pStyle w:val="BodyText"/>
      </w:pPr>
      <w:r>
        <w:t>If they reject the proposed amendment, they not only lose the certainty that the natural resources identified in the conservation objectives will be protected in pe</w:t>
      </w:r>
      <w:r>
        <w:t>r</w:t>
      </w:r>
      <w:r>
        <w:t xml:space="preserve">petuity but they may be forced into investing staff-time and charitable assets enforcing an interpretation of a covenant that prohibits a use that, in all of its more recent easements, is considered consistent with conservation objectives. The directors have a fiduciary duty to act in the best interests of the </w:t>
      </w:r>
      <w:r w:rsidR="00A8411C">
        <w:t>holder</w:t>
      </w:r>
      <w:r>
        <w:t xml:space="preserve">. Rejection of the proposed amendment has little benefit to </w:t>
      </w:r>
      <w:r w:rsidR="00A8411C">
        <w:t>hol</w:t>
      </w:r>
      <w:r w:rsidR="00A8411C">
        <w:t>d</w:t>
      </w:r>
      <w:r w:rsidR="00A8411C">
        <w:t>er</w:t>
      </w:r>
      <w:r w:rsidR="007C1651">
        <w:t>’</w:t>
      </w:r>
      <w:r>
        <w:t>s conservation mission and a high degree of risk to result in a far worse situation.</w:t>
      </w:r>
    </w:p>
    <w:p w14:paraId="21B5FCD3" w14:textId="5A5B1586" w:rsidR="000C654A" w:rsidRDefault="000C654A" w:rsidP="000C654A">
      <w:pPr>
        <w:pStyle w:val="BodyText"/>
      </w:pPr>
      <w:r>
        <w:t>On the other hand, if the directors approve the pr</w:t>
      </w:r>
      <w:r>
        <w:t>o</w:t>
      </w:r>
      <w:r>
        <w:t xml:space="preserve">posed amendment, they risk the possibility that the Service may threaten revocation of </w:t>
      </w:r>
      <w:r w:rsidR="00A8411C">
        <w:t>holder</w:t>
      </w:r>
      <w:r w:rsidR="007C1651">
        <w:t>’</w:t>
      </w:r>
      <w:r>
        <w:t xml:space="preserve">s tax-exempt status by strict application of the quantitative test. </w:t>
      </w:r>
    </w:p>
    <w:p w14:paraId="5DB0E0AD" w14:textId="3610803D" w:rsidR="000C654A" w:rsidRDefault="000C654A" w:rsidP="000C654A">
      <w:pPr>
        <w:pStyle w:val="BodyText"/>
      </w:pPr>
      <w:r>
        <w:t xml:space="preserve">Directors should not be compelled to act contrary to the best interests of the </w:t>
      </w:r>
      <w:r w:rsidR="00A8411C">
        <w:t>holder</w:t>
      </w:r>
      <w:r>
        <w:t xml:space="preserve"> due to the possibility that the landowners may, or will, economically benefit from the change.</w:t>
      </w:r>
    </w:p>
    <w:p w14:paraId="65A82543" w14:textId="2A4A6A26" w:rsidR="000C654A" w:rsidRDefault="000C654A" w:rsidP="000C654A">
      <w:pPr>
        <w:pStyle w:val="Heading1"/>
      </w:pPr>
      <w:bookmarkStart w:id="105" w:name="_Toc275788874"/>
      <w:bookmarkStart w:id="106" w:name="_Toc288819832"/>
      <w:r>
        <w:t xml:space="preserve">Strategies to Minimize Risk of Adverse Consequences to </w:t>
      </w:r>
      <w:r w:rsidR="00A8411C">
        <w:t>Holder</w:t>
      </w:r>
      <w:bookmarkEnd w:id="105"/>
      <w:bookmarkEnd w:id="106"/>
    </w:p>
    <w:p w14:paraId="7EAA6210" w14:textId="5221DE79" w:rsidR="000C654A" w:rsidRDefault="000C654A" w:rsidP="000C654A">
      <w:pPr>
        <w:pStyle w:val="BodyText"/>
      </w:pPr>
      <w:r>
        <w:t>The discussion of legal considerations in this guide must, of necessity, leave to future development exac</w:t>
      </w:r>
      <w:r>
        <w:t>t</w:t>
      </w:r>
      <w:r>
        <w:t>ly how general rules apply to specific amendment issues. Application of the IRC Charitable Gift Rules and the IRC Charitable Exemption Rules may result in uncertainty. A proposed amendment, or its impleme</w:t>
      </w:r>
      <w:r>
        <w:t>n</w:t>
      </w:r>
      <w:r>
        <w:t>tation, may inadvertently fall afoul of a private benefit or private inurement rule notwithstanding the land trust</w:t>
      </w:r>
      <w:r w:rsidR="007C1651">
        <w:t>’</w:t>
      </w:r>
      <w:r>
        <w:t>s reasonable, good faith belief that it is acting in furtherance of its mission and, as to the property, in furtherance of the conservation objectives. An eas</w:t>
      </w:r>
      <w:r>
        <w:t>e</w:t>
      </w:r>
      <w:r>
        <w:t xml:space="preserve">ment amendment decision, made in good faith in furtherance of the </w:t>
      </w:r>
      <w:r w:rsidR="00A8411C">
        <w:t>holder</w:t>
      </w:r>
      <w:r w:rsidR="007C1651">
        <w:t>’</w:t>
      </w:r>
      <w:r>
        <w:t xml:space="preserve">s mission, may be found to be non-compliant with applicable state law or may be alleged to jeopardize </w:t>
      </w:r>
      <w:r w:rsidR="00A8411C">
        <w:t>holder</w:t>
      </w:r>
      <w:r w:rsidR="007C1651">
        <w:t>’</w:t>
      </w:r>
      <w:r>
        <w:t>s status as a qualified o</w:t>
      </w:r>
      <w:r>
        <w:t>r</w:t>
      </w:r>
      <w:r>
        <w:t xml:space="preserve">ganization. In cases of uncertainty, or the potential for litigation initiated by persons alleging to be easement beneficiaries, the </w:t>
      </w:r>
      <w:r w:rsidR="00A8411C">
        <w:t>holder</w:t>
      </w:r>
      <w:r>
        <w:t xml:space="preserve"> may want to condition its willingness to move forward with the proposed amendment on one of the following suggestions:</w:t>
      </w:r>
    </w:p>
    <w:p w14:paraId="69810123" w14:textId="77777777" w:rsidR="000C654A" w:rsidRDefault="000C654A" w:rsidP="000C654A">
      <w:pPr>
        <w:pStyle w:val="Heading2"/>
      </w:pPr>
      <w:bookmarkStart w:id="107" w:name="_Toc275788875"/>
      <w:bookmarkStart w:id="108" w:name="_Toc288819833"/>
      <w:r>
        <w:t>Indemnity</w:t>
      </w:r>
      <w:bookmarkEnd w:id="107"/>
      <w:bookmarkEnd w:id="108"/>
    </w:p>
    <w:p w14:paraId="15158956" w14:textId="5ECFE2AD" w:rsidR="000C654A" w:rsidRPr="00472B2B" w:rsidRDefault="000C654A" w:rsidP="000C654A">
      <w:pPr>
        <w:rPr>
          <w:lang w:eastAsia="ja-JP"/>
        </w:rPr>
      </w:pPr>
      <w:r>
        <w:rPr>
          <w:lang w:eastAsia="ja-JP"/>
        </w:rPr>
        <w:t xml:space="preserve">When landowner requests an amendment, it is good practice for </w:t>
      </w:r>
      <w:r w:rsidR="00A8411C">
        <w:rPr>
          <w:lang w:eastAsia="ja-JP"/>
        </w:rPr>
        <w:t>holder</w:t>
      </w:r>
      <w:r>
        <w:rPr>
          <w:lang w:eastAsia="ja-JP"/>
        </w:rPr>
        <w:t xml:space="preserve"> to request, as a condition of mo</w:t>
      </w:r>
      <w:r>
        <w:rPr>
          <w:lang w:eastAsia="ja-JP"/>
        </w:rPr>
        <w:t>v</w:t>
      </w:r>
      <w:r>
        <w:rPr>
          <w:lang w:eastAsia="ja-JP"/>
        </w:rPr>
        <w:t xml:space="preserve">ing forward, an understanding that the landowners will pay the costs and expenses incurred by </w:t>
      </w:r>
      <w:r w:rsidR="00A8411C">
        <w:rPr>
          <w:lang w:eastAsia="ja-JP"/>
        </w:rPr>
        <w:t>holder</w:t>
      </w:r>
      <w:r>
        <w:rPr>
          <w:lang w:eastAsia="ja-JP"/>
        </w:rPr>
        <w:t xml:space="preserve"> in considering and, if approved, implementing the amendment. Easement </w:t>
      </w:r>
      <w:r w:rsidR="00A8411C">
        <w:rPr>
          <w:lang w:eastAsia="ja-JP"/>
        </w:rPr>
        <w:t>holder</w:t>
      </w:r>
      <w:r>
        <w:rPr>
          <w:lang w:eastAsia="ja-JP"/>
        </w:rPr>
        <w:t>s may want to consider broadening the scope of the agreement to cover costs and expenses incurred after the amendment becomes effective; for example, those incurred as a result of an inquiry by the Service or the Attorney General or commencement of a civil action by a person alleging to be an easement beneficiary. Even if the amendment is ultimately found to be valid and consistent with a</w:t>
      </w:r>
      <w:r>
        <w:rPr>
          <w:lang w:eastAsia="ja-JP"/>
        </w:rPr>
        <w:t>p</w:t>
      </w:r>
      <w:r>
        <w:rPr>
          <w:lang w:eastAsia="ja-JP"/>
        </w:rPr>
        <w:t xml:space="preserve">plicable law, </w:t>
      </w:r>
      <w:r w:rsidR="00A8411C">
        <w:rPr>
          <w:lang w:eastAsia="ja-JP"/>
        </w:rPr>
        <w:t>holder</w:t>
      </w:r>
      <w:r>
        <w:rPr>
          <w:lang w:eastAsia="ja-JP"/>
        </w:rPr>
        <w:t xml:space="preserve"> will invest time and money responding to the inquiry or civil action</w:t>
      </w:r>
      <w:r w:rsidR="00A8411C">
        <w:rPr>
          <w:lang w:eastAsia="ja-JP"/>
        </w:rPr>
        <w:t>. Holder</w:t>
      </w:r>
      <w:r>
        <w:rPr>
          <w:lang w:eastAsia="ja-JP"/>
        </w:rPr>
        <w:t xml:space="preserve"> and landowners need to sort out between themselves who is responsible for payment of these expenses before the amendment is implemented.</w:t>
      </w:r>
    </w:p>
    <w:p w14:paraId="7642781D" w14:textId="77777777" w:rsidR="000C654A" w:rsidRDefault="000C654A" w:rsidP="000C654A">
      <w:pPr>
        <w:pStyle w:val="Heading2"/>
      </w:pPr>
      <w:bookmarkStart w:id="109" w:name="_Toc275788876"/>
      <w:bookmarkStart w:id="110" w:name="_Toc288819834"/>
      <w:r>
        <w:t>Agreement to Unwind</w:t>
      </w:r>
      <w:bookmarkEnd w:id="109"/>
      <w:bookmarkEnd w:id="110"/>
    </w:p>
    <w:p w14:paraId="6F06E280" w14:textId="3C1EBBC9" w:rsidR="000C654A" w:rsidRDefault="000C654A" w:rsidP="000C654A">
      <w:pPr>
        <w:pStyle w:val="BodyText"/>
      </w:pPr>
      <w:r>
        <w:t xml:space="preserve">An indemnity from a creditworthy source affords some comfort that, if a problem arises with respect to the amendment and the problem is not the fault of the </w:t>
      </w:r>
      <w:r w:rsidR="00A8411C">
        <w:t>holder</w:t>
      </w:r>
      <w:r>
        <w:t xml:space="preserve">, adverse economic consequences to the </w:t>
      </w:r>
      <w:r w:rsidR="00A8411C">
        <w:t>holder</w:t>
      </w:r>
      <w:r>
        <w:t xml:space="preserve"> will be borne by the landowners. What if the problem cannot be solved by the payment of money? If the problem is that the Service has revoked the </w:t>
      </w:r>
      <w:r w:rsidR="00A8411C">
        <w:t>holder</w:t>
      </w:r>
      <w:r w:rsidR="007C1651">
        <w:t>’</w:t>
      </w:r>
      <w:r>
        <w:t>s tax-exempt status due to an economic benefit not di</w:t>
      </w:r>
      <w:r>
        <w:t>s</w:t>
      </w:r>
      <w:r>
        <w:t xml:space="preserve">closed by landowners to </w:t>
      </w:r>
      <w:r w:rsidR="00A8411C">
        <w:t>holder</w:t>
      </w:r>
      <w:r>
        <w:t xml:space="preserve">, no amount of cash is going to compensate the </w:t>
      </w:r>
      <w:r w:rsidR="00A8411C">
        <w:t>holder</w:t>
      </w:r>
      <w:r>
        <w:t xml:space="preserve"> for loss of its tax-exempt status. In such case, the equitable remedy is to put the landowners and the </w:t>
      </w:r>
      <w:r w:rsidR="00A8411C">
        <w:t>holder</w:t>
      </w:r>
      <w:r>
        <w:t xml:space="preserve"> back to their pos</w:t>
      </w:r>
      <w:r>
        <w:t>i</w:t>
      </w:r>
      <w:r>
        <w:t xml:space="preserve">tions before the amendment by setting aside all, or the problematic portion, of the transaction. An agreement to achieve this result (called an </w:t>
      </w:r>
      <w:r w:rsidR="007C1651">
        <w:t>“</w:t>
      </w:r>
      <w:r>
        <w:t>unwinding clause</w:t>
      </w:r>
      <w:r w:rsidR="007C1651">
        <w:t>”</w:t>
      </w:r>
      <w:r>
        <w:t xml:space="preserve">) may be incorporated into the amendment document. </w:t>
      </w:r>
    </w:p>
    <w:p w14:paraId="762C2CFA" w14:textId="77777777" w:rsidR="000C654A" w:rsidRDefault="000C654A" w:rsidP="000C654A">
      <w:pPr>
        <w:pStyle w:val="Heading2"/>
      </w:pPr>
      <w:bookmarkStart w:id="111" w:name="_Toc275788877"/>
      <w:bookmarkStart w:id="112" w:name="_Toc288819835"/>
      <w:r>
        <w:t>Opinion of Tax Counsel</w:t>
      </w:r>
      <w:bookmarkEnd w:id="111"/>
      <w:bookmarkEnd w:id="112"/>
      <w:r>
        <w:t xml:space="preserve"> </w:t>
      </w:r>
    </w:p>
    <w:p w14:paraId="17C662FE" w14:textId="4F41E8F6" w:rsidR="000C654A" w:rsidRDefault="000C654A" w:rsidP="000C654A">
      <w:pPr>
        <w:pStyle w:val="BodyText"/>
      </w:pPr>
      <w:r>
        <w:t xml:space="preserve">The </w:t>
      </w:r>
      <w:r w:rsidR="00A8411C">
        <w:t>holder</w:t>
      </w:r>
      <w:r>
        <w:t xml:space="preserve"> may require, as a condition of finalizing the amendment, production of the opinion of comp</w:t>
      </w:r>
      <w:r>
        <w:t>e</w:t>
      </w:r>
      <w:r>
        <w:t xml:space="preserve">tent tax counsel, satisfactory to the </w:t>
      </w:r>
      <w:r w:rsidR="00A8411C">
        <w:t>holder</w:t>
      </w:r>
      <w:r>
        <w:t xml:space="preserve">, which opinion is addressed to the </w:t>
      </w:r>
      <w:r w:rsidR="00A8411C">
        <w:t>holder</w:t>
      </w:r>
      <w:r>
        <w:t xml:space="preserve"> and which states that it may be relied upon by the </w:t>
      </w:r>
      <w:r w:rsidR="00A8411C">
        <w:t>holder</w:t>
      </w:r>
      <w:r>
        <w:t xml:space="preserve">, that in the opinion of such counsel, after reviewing all of the facts and circumstances, neither the proposed amendment nor its implementation, constitutes a private benefit or private inurement in violation of the </w:t>
      </w:r>
      <w:r w:rsidR="005D2FF6">
        <w:t>IRC</w:t>
      </w:r>
      <w:r>
        <w:t>. The opinion may be expanded to include other areas of concern, if appropriate; for example, issues arising under state law.</w:t>
      </w:r>
    </w:p>
    <w:p w14:paraId="30D05A9A" w14:textId="77777777" w:rsidR="000C654A" w:rsidRDefault="000C654A" w:rsidP="000C654A">
      <w:pPr>
        <w:pStyle w:val="Heading2"/>
      </w:pPr>
      <w:bookmarkStart w:id="113" w:name="_Toc275788878"/>
      <w:bookmarkStart w:id="114" w:name="_Toc288819836"/>
      <w:r>
        <w:t>Letter Ruling</w:t>
      </w:r>
      <w:bookmarkEnd w:id="113"/>
      <w:bookmarkEnd w:id="114"/>
    </w:p>
    <w:p w14:paraId="4430A5DB" w14:textId="0ACB72BD" w:rsidR="000C654A" w:rsidRDefault="000C654A" w:rsidP="000C654A">
      <w:pPr>
        <w:pStyle w:val="BodyText"/>
      </w:pPr>
      <w:r>
        <w:t xml:space="preserve">For total assurance, the </w:t>
      </w:r>
      <w:r w:rsidR="00A8411C">
        <w:t>holder</w:t>
      </w:r>
      <w:r>
        <w:t xml:space="preserve"> may require, as a co</w:t>
      </w:r>
      <w:r>
        <w:t>n</w:t>
      </w:r>
      <w:r>
        <w:t>dition of finalizing the amendment, production of a letter ruling issued by the Service confirming that ne</w:t>
      </w:r>
      <w:r>
        <w:t>i</w:t>
      </w:r>
      <w:r>
        <w:t>ther the proposed amendment nor its implementation, as explained in the request for letter ruling, will a</w:t>
      </w:r>
      <w:r>
        <w:t>d</w:t>
      </w:r>
      <w:r>
        <w:t xml:space="preserve">versely affect the tax-exempt status of the </w:t>
      </w:r>
      <w:r w:rsidR="00A8411C">
        <w:t>holder</w:t>
      </w:r>
      <w:r>
        <w:t>.</w:t>
      </w:r>
    </w:p>
    <w:p w14:paraId="19578938" w14:textId="77777777" w:rsidR="000C654A" w:rsidRDefault="000C654A" w:rsidP="000C654A">
      <w:pPr>
        <w:pStyle w:val="Heading2"/>
      </w:pPr>
      <w:bookmarkStart w:id="115" w:name="_Toc275788879"/>
      <w:bookmarkStart w:id="116" w:name="_Toc288819837"/>
      <w:r>
        <w:t>Attorney General No-action Letter</w:t>
      </w:r>
      <w:bookmarkEnd w:id="115"/>
      <w:bookmarkEnd w:id="116"/>
    </w:p>
    <w:p w14:paraId="4E37E7D5" w14:textId="3635F76D" w:rsidR="000C654A" w:rsidRDefault="000C654A" w:rsidP="000C654A">
      <w:pPr>
        <w:pStyle w:val="BodyText"/>
        <w:rPr>
          <w:lang w:eastAsia="ja-JP"/>
        </w:rPr>
      </w:pPr>
      <w:r>
        <w:rPr>
          <w:lang w:eastAsia="ja-JP"/>
        </w:rPr>
        <w:t xml:space="preserve">The </w:t>
      </w:r>
      <w:r w:rsidR="00A8411C">
        <w:rPr>
          <w:lang w:eastAsia="ja-JP"/>
        </w:rPr>
        <w:t>holder</w:t>
      </w:r>
      <w:r>
        <w:rPr>
          <w:lang w:eastAsia="ja-JP"/>
        </w:rPr>
        <w:t xml:space="preserve"> may want to consider notifying the Atto</w:t>
      </w:r>
      <w:r>
        <w:rPr>
          <w:lang w:eastAsia="ja-JP"/>
        </w:rPr>
        <w:t>r</w:t>
      </w:r>
      <w:r>
        <w:rPr>
          <w:lang w:eastAsia="ja-JP"/>
        </w:rPr>
        <w:t xml:space="preserve">ney General of any occurrence (including a proposed amendment) that may be viewed by others (if not by </w:t>
      </w:r>
      <w:r w:rsidR="00A8411C">
        <w:rPr>
          <w:lang w:eastAsia="ja-JP"/>
        </w:rPr>
        <w:t>holder</w:t>
      </w:r>
      <w:r>
        <w:rPr>
          <w:lang w:eastAsia="ja-JP"/>
        </w:rPr>
        <w:t xml:space="preserve">) as a breach of a </w:t>
      </w:r>
      <w:r w:rsidR="00A8411C">
        <w:rPr>
          <w:lang w:eastAsia="ja-JP"/>
        </w:rPr>
        <w:t>holder</w:t>
      </w:r>
      <w:r>
        <w:rPr>
          <w:lang w:eastAsia="ja-JP"/>
        </w:rPr>
        <w:t xml:space="preserve"> covenant or a possible violation of </w:t>
      </w:r>
      <w:r w:rsidR="00A8411C">
        <w:rPr>
          <w:lang w:eastAsia="ja-JP"/>
        </w:rPr>
        <w:t>holder</w:t>
      </w:r>
      <w:r w:rsidR="007C1651">
        <w:rPr>
          <w:lang w:eastAsia="ja-JP"/>
        </w:rPr>
        <w:t>’</w:t>
      </w:r>
      <w:r>
        <w:rPr>
          <w:lang w:eastAsia="ja-JP"/>
        </w:rPr>
        <w:t xml:space="preserve">s duties as a charitable, nonprofit organization under state law. The notice may include additional information which </w:t>
      </w:r>
      <w:r w:rsidR="00A8411C">
        <w:rPr>
          <w:lang w:eastAsia="ja-JP"/>
        </w:rPr>
        <w:t>holder</w:t>
      </w:r>
      <w:r>
        <w:rPr>
          <w:lang w:eastAsia="ja-JP"/>
        </w:rPr>
        <w:t xml:space="preserve"> has relied upon in its determination that the action does not violate any </w:t>
      </w:r>
      <w:r w:rsidR="00A8411C">
        <w:rPr>
          <w:lang w:eastAsia="ja-JP"/>
        </w:rPr>
        <w:t>holder</w:t>
      </w:r>
      <w:r>
        <w:rPr>
          <w:lang w:eastAsia="ja-JP"/>
        </w:rPr>
        <w:t xml:space="preserve"> covenant and is otherwise consistent with applicable law. The </w:t>
      </w:r>
      <w:r w:rsidR="00A8411C">
        <w:rPr>
          <w:lang w:eastAsia="ja-JP"/>
        </w:rPr>
        <w:t>holder</w:t>
      </w:r>
      <w:r>
        <w:rPr>
          <w:lang w:eastAsia="ja-JP"/>
        </w:rPr>
        <w:t xml:space="preserve"> may request a </w:t>
      </w:r>
      <w:r w:rsidR="007C1651">
        <w:rPr>
          <w:lang w:eastAsia="ja-JP"/>
        </w:rPr>
        <w:t>“</w:t>
      </w:r>
      <w:r>
        <w:rPr>
          <w:lang w:eastAsia="ja-JP"/>
        </w:rPr>
        <w:t>no action</w:t>
      </w:r>
      <w:r w:rsidR="007C1651">
        <w:rPr>
          <w:lang w:eastAsia="ja-JP"/>
        </w:rPr>
        <w:t>”</w:t>
      </w:r>
      <w:r>
        <w:rPr>
          <w:lang w:eastAsia="ja-JP"/>
        </w:rPr>
        <w:t xml:space="preserve"> letter evidencing the Attorney General</w:t>
      </w:r>
      <w:r w:rsidR="007C1651">
        <w:rPr>
          <w:lang w:eastAsia="ja-JP"/>
        </w:rPr>
        <w:t>’</w:t>
      </w:r>
      <w:r>
        <w:rPr>
          <w:lang w:eastAsia="ja-JP"/>
        </w:rPr>
        <w:t>s lack of obje</w:t>
      </w:r>
      <w:r>
        <w:rPr>
          <w:lang w:eastAsia="ja-JP"/>
        </w:rPr>
        <w:t>c</w:t>
      </w:r>
      <w:r>
        <w:rPr>
          <w:lang w:eastAsia="ja-JP"/>
        </w:rPr>
        <w:t xml:space="preserve">tion to the proposed occurrence. </w:t>
      </w:r>
    </w:p>
    <w:p w14:paraId="708B9B6E" w14:textId="3B1DBEA9" w:rsidR="004F538F" w:rsidRDefault="004F538F" w:rsidP="0054016C">
      <w:pPr>
        <w:pStyle w:val="Heading1"/>
      </w:pPr>
      <w:bookmarkStart w:id="117" w:name="_Toc288819838"/>
      <w:bookmarkEnd w:id="2"/>
      <w:bookmarkEnd w:id="3"/>
      <w:bookmarkEnd w:id="4"/>
      <w:bookmarkEnd w:id="0"/>
      <w:bookmarkEnd w:id="5"/>
      <w:bookmarkEnd w:id="6"/>
      <w:bookmarkEnd w:id="7"/>
      <w:bookmarkEnd w:id="8"/>
      <w:r>
        <w:t>Resources at ConservationTools.org</w:t>
      </w:r>
      <w:bookmarkEnd w:id="9"/>
      <w:bookmarkEnd w:id="117"/>
    </w:p>
    <w:p w14:paraId="4666F399" w14:textId="138491E2" w:rsidR="006F00B4" w:rsidRDefault="00D423F8" w:rsidP="006F00B4">
      <w:pPr>
        <w:pStyle w:val="BodyText"/>
      </w:pPr>
      <w:r>
        <w:t xml:space="preserve">To find experts on the topics covered by </w:t>
      </w:r>
      <w:r w:rsidR="006F00B4">
        <w:t>this guide</w:t>
      </w:r>
      <w:r>
        <w:t xml:space="preserve">, see the right hand column of the on-line edition at </w:t>
      </w:r>
      <w:hyperlink r:id="rId18" w:history="1">
        <w:r w:rsidR="000C7F9F" w:rsidRPr="00E17010">
          <w:rPr>
            <w:rStyle w:val="Hyperlink"/>
          </w:rPr>
          <w:t>http://conservationtools.org/guides/show/139</w:t>
        </w:r>
      </w:hyperlink>
      <w:r w:rsidR="000C7F9F">
        <w:t>.</w:t>
      </w:r>
      <w:r>
        <w:t xml:space="preserve"> The on-line edition also contains the most up-to-date listing of related library items and guides.</w:t>
      </w:r>
    </w:p>
    <w:p w14:paraId="36D6B49C" w14:textId="77777777" w:rsidR="00401471" w:rsidRDefault="00401471" w:rsidP="00401471">
      <w:pPr>
        <w:pStyle w:val="Heading3"/>
      </w:pPr>
      <w:r>
        <w:t>Library Categories</w:t>
      </w:r>
    </w:p>
    <w:p w14:paraId="0DCC98AE" w14:textId="126C03F1" w:rsidR="007D4F03" w:rsidRPr="007D4F03" w:rsidRDefault="00666093" w:rsidP="009F356F">
      <w:pPr>
        <w:pStyle w:val="BodyText"/>
        <w:rPr>
          <w:bCs/>
        </w:rPr>
      </w:pPr>
      <w:hyperlink r:id="rId19" w:history="1">
        <w:r w:rsidR="007D4F03" w:rsidRPr="007D4F03">
          <w:rPr>
            <w:rStyle w:val="Hyperlink"/>
            <w:bCs/>
          </w:rPr>
          <w:t>Conservation Easement Amendment, Modification and Termination</w:t>
        </w:r>
      </w:hyperlink>
    </w:p>
    <w:p w14:paraId="2BA02176" w14:textId="77777777" w:rsidR="009F356F" w:rsidRDefault="00666093" w:rsidP="009F356F">
      <w:pPr>
        <w:pStyle w:val="BodyText"/>
        <w:rPr>
          <w:rStyle w:val="Hyperlink"/>
        </w:rPr>
      </w:pPr>
      <w:hyperlink r:id="rId20" w:history="1">
        <w:r w:rsidR="009F356F" w:rsidRPr="00873D1E">
          <w:rPr>
            <w:rStyle w:val="Hyperlink"/>
          </w:rPr>
          <w:t>Conservation Easements</w:t>
        </w:r>
      </w:hyperlink>
    </w:p>
    <w:p w14:paraId="62F4D74E" w14:textId="266BBA08" w:rsidR="007D4F03" w:rsidRDefault="00666093" w:rsidP="009F356F">
      <w:pPr>
        <w:pStyle w:val="BodyText"/>
      </w:pPr>
      <w:hyperlink r:id="rId21" w:history="1">
        <w:r w:rsidR="007D4F03" w:rsidRPr="007D4F03">
          <w:rPr>
            <w:rStyle w:val="Hyperlink"/>
          </w:rPr>
          <w:t>Internal Revenue Service Guidance</w:t>
        </w:r>
      </w:hyperlink>
    </w:p>
    <w:p w14:paraId="36095181" w14:textId="77777777" w:rsidR="00401471" w:rsidRPr="00FD3B80" w:rsidRDefault="00401471" w:rsidP="00401471">
      <w:pPr>
        <w:pStyle w:val="Heading3"/>
      </w:pPr>
      <w:r>
        <w:t>Featured Library Items</w:t>
      </w:r>
    </w:p>
    <w:p w14:paraId="0A2FF139" w14:textId="77777777" w:rsidR="009F356F" w:rsidRDefault="00666093" w:rsidP="009F356F">
      <w:pPr>
        <w:pStyle w:val="BodyText"/>
        <w:rPr>
          <w:i/>
        </w:rPr>
      </w:pPr>
      <w:hyperlink r:id="rId22" w:history="1">
        <w:r w:rsidR="009F356F" w:rsidRPr="000D06C9">
          <w:rPr>
            <w:rStyle w:val="Hyperlink"/>
            <w:i/>
          </w:rPr>
          <w:t>Conservation and Preservation Easements Act</w:t>
        </w:r>
      </w:hyperlink>
      <w:r w:rsidR="009F356F" w:rsidRPr="000D06C9">
        <w:rPr>
          <w:i/>
        </w:rPr>
        <w:t xml:space="preserve"> </w:t>
      </w:r>
    </w:p>
    <w:p w14:paraId="54DFDDFC" w14:textId="7D732FC9" w:rsidR="007D4F03" w:rsidRPr="000D06C9" w:rsidRDefault="00666093" w:rsidP="009F356F">
      <w:pPr>
        <w:pStyle w:val="BodyText"/>
        <w:rPr>
          <w:i/>
        </w:rPr>
      </w:pPr>
      <w:hyperlink r:id="rId23" w:history="1">
        <w:r w:rsidR="007D4F03" w:rsidRPr="007D4F03">
          <w:rPr>
            <w:rStyle w:val="Hyperlink"/>
            <w:i/>
          </w:rPr>
          <w:t>Model Conservation Easement Amendment Policy</w:t>
        </w:r>
      </w:hyperlink>
    </w:p>
    <w:p w14:paraId="6C45C8B5" w14:textId="77777777" w:rsidR="009F356F" w:rsidRPr="000D06C9" w:rsidRDefault="00666093" w:rsidP="009F356F">
      <w:pPr>
        <w:pStyle w:val="BodyText"/>
        <w:rPr>
          <w:i/>
        </w:rPr>
      </w:pPr>
      <w:hyperlink r:id="rId24" w:history="1">
        <w:r w:rsidR="009F356F" w:rsidRPr="000D06C9">
          <w:rPr>
            <w:rStyle w:val="Hyperlink"/>
            <w:i/>
          </w:rPr>
          <w:t>Model Grant of Conservation Easement</w:t>
        </w:r>
      </w:hyperlink>
    </w:p>
    <w:p w14:paraId="77297852" w14:textId="77777777" w:rsidR="00401471" w:rsidRDefault="00401471" w:rsidP="00401471">
      <w:pPr>
        <w:pStyle w:val="Heading3"/>
      </w:pPr>
      <w:r>
        <w:t>Related Guides</w:t>
      </w:r>
    </w:p>
    <w:p w14:paraId="35FFE4D1" w14:textId="1122BD9C" w:rsidR="00816EF2" w:rsidRPr="00816EF2" w:rsidRDefault="00666093" w:rsidP="00816EF2">
      <w:pPr>
        <w:pStyle w:val="BodyText"/>
        <w:rPr>
          <w:i/>
        </w:rPr>
      </w:pPr>
      <w:hyperlink r:id="rId25" w:history="1">
        <w:r w:rsidR="005022BE">
          <w:rPr>
            <w:rStyle w:val="Hyperlink"/>
            <w:i/>
          </w:rPr>
          <w:t>The N</w:t>
        </w:r>
        <w:r w:rsidR="005022BE" w:rsidRPr="001A44B3">
          <w:rPr>
            <w:rStyle w:val="Hyperlink"/>
            <w:i/>
          </w:rPr>
          <w:t>ature of the Conservation Easemen</w:t>
        </w:r>
        <w:r w:rsidR="005022BE">
          <w:rPr>
            <w:rStyle w:val="Hyperlink"/>
            <w:i/>
          </w:rPr>
          <w:t>t and the Doc</w:t>
        </w:r>
        <w:r w:rsidR="005022BE">
          <w:rPr>
            <w:rStyle w:val="Hyperlink"/>
            <w:i/>
          </w:rPr>
          <w:t>u</w:t>
        </w:r>
        <w:r w:rsidR="005022BE">
          <w:rPr>
            <w:rStyle w:val="Hyperlink"/>
            <w:i/>
          </w:rPr>
          <w:t>ment Granting It</w:t>
        </w:r>
      </w:hyperlink>
    </w:p>
    <w:p w14:paraId="7840D59F" w14:textId="3E612396" w:rsidR="00046629" w:rsidRDefault="00666093" w:rsidP="00816EF2">
      <w:pPr>
        <w:pStyle w:val="BodyText"/>
      </w:pPr>
      <w:hyperlink r:id="rId26" w:history="1">
        <w:r w:rsidR="009E4039" w:rsidRPr="00897402">
          <w:rPr>
            <w:rStyle w:val="Hyperlink"/>
            <w:i/>
          </w:rPr>
          <w:t>Authorization of Real Estate Transactions</w:t>
        </w:r>
      </w:hyperlink>
      <w:r w:rsidR="00046629">
        <w:t xml:space="preserve"> </w:t>
      </w:r>
    </w:p>
    <w:p w14:paraId="4B08698A" w14:textId="6A503F74" w:rsidR="00816EF2" w:rsidRDefault="00666093" w:rsidP="00816EF2">
      <w:pPr>
        <w:pStyle w:val="BodyText"/>
        <w:rPr>
          <w:rStyle w:val="Hyperlink"/>
          <w:bCs/>
          <w:i/>
        </w:rPr>
      </w:pPr>
      <w:hyperlink r:id="rId27" w:history="1">
        <w:r w:rsidR="00816EF2" w:rsidRPr="000D06C9">
          <w:rPr>
            <w:rStyle w:val="Hyperlink"/>
            <w:bCs/>
            <w:i/>
          </w:rPr>
          <w:t>Conservation Easement</w:t>
        </w:r>
      </w:hyperlink>
    </w:p>
    <w:p w14:paraId="1CC5B18C" w14:textId="77777777" w:rsidR="00816EF2" w:rsidRPr="000D06C9" w:rsidRDefault="00666093" w:rsidP="00816EF2">
      <w:pPr>
        <w:pStyle w:val="BodyText"/>
        <w:rPr>
          <w:i/>
        </w:rPr>
      </w:pPr>
      <w:hyperlink r:id="rId28" w:history="1">
        <w:r w:rsidR="00816EF2" w:rsidRPr="000D06C9">
          <w:rPr>
            <w:rStyle w:val="Hyperlink"/>
            <w:i/>
          </w:rPr>
          <w:t>Conservation and Preservation Easements Act</w:t>
        </w:r>
      </w:hyperlink>
    </w:p>
    <w:p w14:paraId="6738F63D" w14:textId="74749953" w:rsidR="00816EF2" w:rsidRDefault="00666093" w:rsidP="00816EF2">
      <w:pPr>
        <w:pStyle w:val="BodyText"/>
        <w:rPr>
          <w:rStyle w:val="Hyperlink"/>
          <w:i/>
        </w:rPr>
      </w:pPr>
      <w:hyperlink r:id="rId29" w:history="1">
        <w:r w:rsidR="00A8411C">
          <w:rPr>
            <w:rStyle w:val="Hyperlink"/>
            <w:i/>
          </w:rPr>
          <w:t>Holder</w:t>
        </w:r>
        <w:r w:rsidR="00816EF2" w:rsidRPr="00475740">
          <w:rPr>
            <w:rStyle w:val="Hyperlink"/>
            <w:i/>
          </w:rPr>
          <w:t>s, Beneficiaries and Backup Grantees</w:t>
        </w:r>
      </w:hyperlink>
    </w:p>
    <w:p w14:paraId="0F4B6CB6" w14:textId="77777777" w:rsidR="00816EF2" w:rsidRDefault="00666093" w:rsidP="00816EF2">
      <w:pPr>
        <w:pStyle w:val="BodyText"/>
        <w:rPr>
          <w:rStyle w:val="Hyperlink"/>
          <w:i/>
        </w:rPr>
      </w:pPr>
      <w:hyperlink r:id="rId30" w:history="1">
        <w:r w:rsidR="00816EF2" w:rsidRPr="00475740">
          <w:rPr>
            <w:rStyle w:val="Hyperlink"/>
            <w:i/>
          </w:rPr>
          <w:t>Who Has Standing?</w:t>
        </w:r>
      </w:hyperlink>
    </w:p>
    <w:p w14:paraId="5B9640D5" w14:textId="37248361" w:rsidR="00816EF2" w:rsidRDefault="00666093" w:rsidP="00816EF2">
      <w:pPr>
        <w:pStyle w:val="BodyText"/>
        <w:rPr>
          <w:i/>
        </w:rPr>
      </w:pPr>
      <w:hyperlink r:id="rId31" w:history="1">
        <w:r w:rsidR="00816EF2" w:rsidRPr="0049794D">
          <w:rPr>
            <w:rStyle w:val="Hyperlink"/>
            <w:i/>
          </w:rPr>
          <w:t xml:space="preserve">Not a Public Trust: </w:t>
        </w:r>
        <w:r w:rsidR="0049794D" w:rsidRPr="0049794D">
          <w:rPr>
            <w:rStyle w:val="Hyperlink"/>
            <w:i/>
          </w:rPr>
          <w:t xml:space="preserve">The </w:t>
        </w:r>
        <w:r w:rsidR="00816EF2" w:rsidRPr="0049794D">
          <w:rPr>
            <w:rStyle w:val="Hyperlink"/>
            <w:i/>
          </w:rPr>
          <w:t>Land Trust-Held Conservation Ease</w:t>
        </w:r>
        <w:r w:rsidR="0049794D" w:rsidRPr="0049794D">
          <w:rPr>
            <w:rStyle w:val="Hyperlink"/>
            <w:i/>
          </w:rPr>
          <w:t>ment</w:t>
        </w:r>
        <w:r w:rsidR="00816EF2" w:rsidRPr="0049794D">
          <w:rPr>
            <w:rStyle w:val="Hyperlink"/>
            <w:i/>
          </w:rPr>
          <w:t xml:space="preserve"> in Pennsylvania</w:t>
        </w:r>
      </w:hyperlink>
    </w:p>
    <w:p w14:paraId="2E42067E" w14:textId="0498E4D0" w:rsidR="00816EF2" w:rsidRDefault="00666093" w:rsidP="00816EF2">
      <w:pPr>
        <w:pStyle w:val="BodyText"/>
        <w:rPr>
          <w:i/>
        </w:rPr>
      </w:pPr>
      <w:hyperlink r:id="rId32" w:history="1">
        <w:r w:rsidR="00A667F6">
          <w:rPr>
            <w:rStyle w:val="Hyperlink"/>
            <w:i/>
          </w:rPr>
          <w:t>Not</w:t>
        </w:r>
        <w:r w:rsidR="0049794D" w:rsidRPr="0049794D">
          <w:rPr>
            <w:rStyle w:val="Hyperlink"/>
            <w:i/>
          </w:rPr>
          <w:t xml:space="preserve"> a Charitable Trust: The Conservation Easement in Pennsylvania</w:t>
        </w:r>
      </w:hyperlink>
    </w:p>
    <w:p w14:paraId="39D498F1" w14:textId="77777777" w:rsidR="0095680D" w:rsidRPr="00000709" w:rsidRDefault="00046629" w:rsidP="0095680D">
      <w:pPr>
        <w:pStyle w:val="Heading1-noTOC"/>
      </w:pPr>
      <w:r>
        <w:br w:type="column"/>
      </w:r>
      <w:r w:rsidR="0095680D" w:rsidRPr="00000709">
        <w:t>Submit Comments</w:t>
      </w:r>
    </w:p>
    <w:p w14:paraId="77D03647" w14:textId="1D33FEE2" w:rsidR="0095680D" w:rsidRDefault="0095680D" w:rsidP="0095680D">
      <w:pPr>
        <w:pStyle w:val="BodyText"/>
      </w:pPr>
      <w:r>
        <w:t>Help improve the next edition of this guide. Email your suggestions to</w:t>
      </w:r>
      <w:r w:rsidRPr="003837E7">
        <w:t xml:space="preserve"> the Pennsylvania Land Trust A</w:t>
      </w:r>
      <w:r w:rsidRPr="003837E7">
        <w:t>s</w:t>
      </w:r>
      <w:r w:rsidRPr="003837E7">
        <w:t>sociation</w:t>
      </w:r>
      <w:r>
        <w:t xml:space="preserve"> at </w:t>
      </w:r>
      <w:hyperlink r:id="rId33" w:history="1">
        <w:r w:rsidRPr="008E3020">
          <w:rPr>
            <w:rStyle w:val="Hyperlink"/>
          </w:rPr>
          <w:t>aloza@conserveland.org</w:t>
        </w:r>
      </w:hyperlink>
      <w:r>
        <w:t xml:space="preserve">. </w:t>
      </w:r>
      <w:r w:rsidRPr="003837E7">
        <w:t>Thank you.</w:t>
      </w:r>
    </w:p>
    <w:p w14:paraId="38D09513" w14:textId="77777777" w:rsidR="0095680D" w:rsidRPr="003837E7" w:rsidRDefault="0095680D" w:rsidP="0095680D">
      <w:pPr>
        <w:pStyle w:val="BodyText"/>
      </w:pPr>
    </w:p>
    <w:p w14:paraId="11BDBF0B" w14:textId="77777777" w:rsidR="00401471" w:rsidRPr="001166D4" w:rsidRDefault="00401471" w:rsidP="00401471">
      <w:pPr>
        <w:pStyle w:val="Heading1-noTOC"/>
      </w:pPr>
      <w:r w:rsidRPr="001166D4">
        <w:t>Acknowledgements</w:t>
      </w:r>
    </w:p>
    <w:p w14:paraId="24B3C175" w14:textId="77777777" w:rsidR="009F356F" w:rsidRDefault="00666093" w:rsidP="009F356F">
      <w:pPr>
        <w:pStyle w:val="BodyText"/>
      </w:pPr>
      <w:hyperlink r:id="rId34" w:history="1">
        <w:r w:rsidR="009F356F" w:rsidRPr="008B022A">
          <w:rPr>
            <w:rStyle w:val="Hyperlink"/>
          </w:rPr>
          <w:t xml:space="preserve">Patricia L. </w:t>
        </w:r>
        <w:proofErr w:type="spellStart"/>
        <w:r w:rsidR="009F356F" w:rsidRPr="008B022A">
          <w:rPr>
            <w:rStyle w:val="Hyperlink"/>
          </w:rPr>
          <w:t>Pregmon</w:t>
        </w:r>
        <w:proofErr w:type="spellEnd"/>
      </w:hyperlink>
      <w:r w:rsidR="009F356F" w:rsidRPr="008B022A">
        <w:t xml:space="preserve">, attorney at law, is the primary author, and </w:t>
      </w:r>
      <w:hyperlink r:id="rId35" w:history="1">
        <w:r w:rsidR="009F356F" w:rsidRPr="00E06DCD">
          <w:rPr>
            <w:rStyle w:val="Hyperlink"/>
          </w:rPr>
          <w:t>Andrew M. Loza</w:t>
        </w:r>
      </w:hyperlink>
      <w:r w:rsidR="009F356F" w:rsidRPr="008B022A">
        <w:t>, the contributing author and editor.</w:t>
      </w:r>
    </w:p>
    <w:p w14:paraId="18CADA21" w14:textId="77777777" w:rsidR="00991AE0" w:rsidRDefault="00C57DCE" w:rsidP="001517A5">
      <w:pPr>
        <w:pStyle w:val="BodyText"/>
      </w:pPr>
      <w:r>
        <w:rPr>
          <w:noProof/>
        </w:rPr>
        <mc:AlternateContent>
          <mc:Choice Requires="wpg">
            <w:drawing>
              <wp:anchor distT="0" distB="0" distL="114300" distR="114300" simplePos="0" relativeHeight="251665408" behindDoc="0" locked="0" layoutInCell="1" allowOverlap="1" wp14:anchorId="222717F8" wp14:editId="50CF4CB9">
                <wp:simplePos x="0" y="0"/>
                <wp:positionH relativeFrom="column">
                  <wp:posOffset>-34290</wp:posOffset>
                </wp:positionH>
                <wp:positionV relativeFrom="paragraph">
                  <wp:posOffset>1469390</wp:posOffset>
                </wp:positionV>
                <wp:extent cx="3620135" cy="957580"/>
                <wp:effectExtent l="0" t="0" r="12065" b="7620"/>
                <wp:wrapSquare wrapText="bothSides"/>
                <wp:docPr id="2" name="Group 2"/>
                <wp:cNvGraphicFramePr/>
                <a:graphic xmlns:a="http://schemas.openxmlformats.org/drawingml/2006/main">
                  <a:graphicData uri="http://schemas.microsoft.com/office/word/2010/wordprocessingGroup">
                    <wpg:wgp>
                      <wpg:cNvGrpSpPr/>
                      <wpg:grpSpPr>
                        <a:xfrm>
                          <a:off x="0" y="0"/>
                          <a:ext cx="3620135" cy="957580"/>
                          <a:chOff x="0" y="0"/>
                          <a:chExt cx="3620135" cy="957580"/>
                        </a:xfrm>
                      </wpg:grpSpPr>
                      <pic:pic xmlns:pic="http://schemas.openxmlformats.org/drawingml/2006/picture">
                        <pic:nvPicPr>
                          <pic:cNvPr id="12" name="Picture 4"/>
                          <pic:cNvPicPr>
                            <a:picLocks noChangeAspect="1"/>
                          </pic:cNvPicPr>
                        </pic:nvPicPr>
                        <pic:blipFill>
                          <a:blip r:embed="rId36">
                            <a:extLst>
                              <a:ext uri="{28A0092B-C50C-407E-A947-70E740481C1C}">
                                <a14:useLocalDpi xmlns:a14="http://schemas.microsoft.com/office/drawing/2010/main"/>
                              </a:ext>
                            </a:extLst>
                          </a:blip>
                          <a:stretch>
                            <a:fillRect/>
                          </a:stretch>
                        </pic:blipFill>
                        <pic:spPr>
                          <a:xfrm>
                            <a:off x="762000" y="663575"/>
                            <a:ext cx="2085340" cy="294005"/>
                          </a:xfrm>
                          <a:prstGeom prst="rect">
                            <a:avLst/>
                          </a:prstGeom>
                        </pic:spPr>
                      </pic:pic>
                      <wpg:grpSp>
                        <wpg:cNvPr id="1" name="Group 1"/>
                        <wpg:cNvGrpSpPr/>
                        <wpg:grpSpPr>
                          <a:xfrm>
                            <a:off x="0" y="0"/>
                            <a:ext cx="3620135" cy="682625"/>
                            <a:chOff x="0" y="0"/>
                            <a:chExt cx="3620135" cy="682625"/>
                          </a:xfrm>
                        </wpg:grpSpPr>
                        <pic:pic xmlns:pic="http://schemas.openxmlformats.org/drawingml/2006/picture">
                          <pic:nvPicPr>
                            <pic:cNvPr id="10" name="Picture 10" descr="Description: WPFLOGO"/>
                            <pic:cNvPicPr>
                              <a:picLocks noChangeAspect="1"/>
                            </pic:cNvPicPr>
                          </pic:nvPicPr>
                          <pic:blipFill>
                            <a:blip r:embed="rId37">
                              <a:grayscl/>
                              <a:extLst>
                                <a:ext uri="{28A0092B-C50C-407E-A947-70E740481C1C}">
                                  <a14:useLocalDpi xmlns:a14="http://schemas.microsoft.com/office/drawing/2010/main"/>
                                </a:ext>
                              </a:extLst>
                            </a:blip>
                            <a:srcRect/>
                            <a:stretch>
                              <a:fillRect/>
                            </a:stretch>
                          </pic:blipFill>
                          <pic:spPr bwMode="auto">
                            <a:xfrm>
                              <a:off x="0" y="0"/>
                              <a:ext cx="1784985" cy="604520"/>
                            </a:xfrm>
                            <a:prstGeom prst="rect">
                              <a:avLst/>
                            </a:prstGeom>
                            <a:noFill/>
                            <a:ln>
                              <a:noFill/>
                            </a:ln>
                          </pic:spPr>
                        </pic:pic>
                        <pic:pic xmlns:pic="http://schemas.openxmlformats.org/drawingml/2006/picture">
                          <pic:nvPicPr>
                            <pic:cNvPr id="16" name="Picture 16"/>
                            <pic:cNvPicPr>
                              <a:picLocks noChangeAspect="1"/>
                            </pic:cNvPicPr>
                          </pic:nvPicPr>
                          <pic:blipFill>
                            <a:blip r:embed="rId38" cstate="print">
                              <a:grayscl/>
                              <a:extLst>
                                <a:ext uri="{28A0092B-C50C-407E-A947-70E740481C1C}">
                                  <a14:useLocalDpi xmlns:a14="http://schemas.microsoft.com/office/drawing/2010/main"/>
                                </a:ext>
                              </a:extLst>
                            </a:blip>
                            <a:stretch>
                              <a:fillRect/>
                            </a:stretch>
                          </pic:blipFill>
                          <pic:spPr>
                            <a:xfrm>
                              <a:off x="1827530" y="31750"/>
                              <a:ext cx="1792605" cy="650875"/>
                            </a:xfrm>
                            <a:prstGeom prst="rect">
                              <a:avLst/>
                            </a:prstGeom>
                          </pic:spPr>
                        </pic:pic>
                      </wpg:grpSp>
                    </wpg:wgp>
                  </a:graphicData>
                </a:graphic>
              </wp:anchor>
            </w:drawing>
          </mc:Choice>
          <mc:Fallback>
            <w:pict>
              <v:group id="Group 2" o:spid="_x0000_s1026" style="position:absolute;margin-left:-2.65pt;margin-top:115.7pt;width:285.05pt;height:75.4pt;z-index:251665408" coordsize="3620135,957580" o:gfxdata="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62000;top:663575;width:2085340;height:2940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NZ&#10;C5TAAAAA2wAAAA8AAABkcnMvZG93bnJldi54bWxET8uqwjAQ3Qv+QxjhbkRTleujGkUuCm7uwscH&#10;jM3YFptJbVKtf28Ewd0cznMWq8YU4k6Vyy0rGPQjEMSJ1TmnCk7HbW8KwnlkjYVlUvAkB6tlu7XA&#10;WNsH7+l+8KkIIexiVJB5X8ZSuiQjg65vS+LAXWxl0AdYpVJX+AjhppDDKBpLgzmHhgxL+ssouR5q&#10;o6Bu1rMz7/1t/Gsndfe5GR0n/yOlfjrNeg7CU+O/4o97p8P8Ibx/CQfI5Q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s1kLlMAAAADbAAAADwAAAAAAAAAAAAAAAACcAgAAZHJz&#10;L2Rvd25yZXYueG1sUEsFBgAAAAAEAAQA9wAAAIkDAAAAAA==&#10;">
                  <v:imagedata r:id="rId39" o:title=""/>
                  <v:path arrowok="t"/>
                </v:shape>
                <v:group id="Group 1" o:spid="_x0000_s1028" style="position:absolute;width:3620135;height:682625" coordsize="3620135,6826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shape id="Picture 10" o:spid="_x0000_s1029" type="#_x0000_t75" alt="Description: WPFLOGO" style="position:absolute;width:1784985;height:6045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FS&#10;bZTEAAAA2wAAAA8AAABkcnMvZG93bnJldi54bWxEj0FvwjAMhe+T9h8iT+I20u0AXUdAUyUYElyA&#10;TVytxm2qNU7VZND9+/mAxM3We37v82I1+k5daIhtYAMv0wwUcRVsy42Br9P6OQcVE7LFLjAZ+KMI&#10;q+XjwwILG658oMsxNUpCOBZowKXUF1rHypHHOA09sWh1GDwmWYdG2wGvEu47/ZplM+2xZWlw2FPp&#10;qPo5/noD5flc5uvP73ynN2+b2s3yeo57YyZP48c7qERjuptv11sr+EIvv8gAevk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FSbZTEAAAA2wAAAA8AAAAAAAAAAAAAAAAAnAIA&#10;AGRycy9kb3ducmV2LnhtbFBLBQYAAAAABAAEAPcAAACNAwAAAAA=&#10;">
                    <v:imagedata r:id="rId40" o:title=" WPFLOGO" grayscale="t"/>
                    <v:path arrowok="t"/>
                  </v:shape>
                  <v:shape id="Picture 16" o:spid="_x0000_s1030" type="#_x0000_t75" style="position:absolute;left:1827530;top:31750;width:1792605;height:6508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m6&#10;WT3CAAAA2wAAAA8AAABkcnMvZG93bnJldi54bWxET99rwjAQfhf8H8IN9qbpNlCpRhHZQGEKarfn&#10;oznbYnOJTWa7/94Igm/38f282aIztbhS4yvLCt6GCQji3OqKCwXZ8WswAeEDssbaMin4Jw+Leb83&#10;w1Tblvd0PYRCxBD2KSooQ3CplD4vyaAfWkccuZNtDIYIm0LqBtsYbmr5niQjabDi2FCio1VJ+fnw&#10;ZxR8jHffF/fT/q6zcbZdXmq3+TxvlHp96ZZTEIG68BQ/3Gsd54/g/ks8QM5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Zulk9wgAAANsAAAAPAAAAAAAAAAAAAAAAAJwCAABk&#10;cnMvZG93bnJldi54bWxQSwUGAAAAAAQABAD3AAAAiwMAAAAA&#10;">
                    <v:imagedata r:id="rId41" o:title="" grayscale="t"/>
                    <v:path arrowok="t"/>
                  </v:shape>
                </v:group>
                <w10:wrap type="square"/>
              </v:group>
            </w:pict>
          </mc:Fallback>
        </mc:AlternateContent>
      </w:r>
      <w:r w:rsidR="00401471">
        <w:t>The Pennsylvania Land Trust Association published this guide with support from the William Penn Fou</w:t>
      </w:r>
      <w:r w:rsidR="00401471">
        <w:t>n</w:t>
      </w:r>
      <w:r w:rsidR="00401471">
        <w:t>dation</w:t>
      </w:r>
      <w:r w:rsidR="005D3FB7">
        <w:t xml:space="preserve">, the </w:t>
      </w:r>
      <w:proofErr w:type="spellStart"/>
      <w:r w:rsidR="005D3FB7">
        <w:t>Colcom</w:t>
      </w:r>
      <w:proofErr w:type="spellEnd"/>
      <w:r w:rsidR="005D3FB7">
        <w:t xml:space="preserve"> Foundation</w:t>
      </w:r>
      <w:r w:rsidR="00401471">
        <w:t xml:space="preserve"> and the </w:t>
      </w:r>
      <w:r w:rsidR="00381B7B">
        <w:t xml:space="preserve">Community Conservation Partnerships Program, Environmental Stewardship Fund, under the administration of the </w:t>
      </w:r>
      <w:r w:rsidR="00401471" w:rsidRPr="009F535D">
        <w:t>Pennsylvania Department of Conservation and Nat</w:t>
      </w:r>
      <w:r w:rsidR="00401471" w:rsidRPr="009F535D">
        <w:t>u</w:t>
      </w:r>
      <w:r w:rsidR="00401471" w:rsidRPr="009F535D">
        <w:t>ral Resources</w:t>
      </w:r>
      <w:r w:rsidR="00401471">
        <w:t>,</w:t>
      </w:r>
      <w:r w:rsidR="00401471" w:rsidRPr="009F535D">
        <w:t xml:space="preserve"> Bureau of Recreation and Conservation</w:t>
      </w:r>
      <w:r w:rsidR="00401471">
        <w:t>.</w:t>
      </w:r>
      <w:r w:rsidR="00F24B0F" w:rsidRPr="00F24B0F">
        <w:rPr>
          <w:noProof/>
        </w:rPr>
        <w:t xml:space="preserve"> </w:t>
      </w:r>
    </w:p>
    <w:p w14:paraId="204618E6" w14:textId="77777777" w:rsidR="00D423F8" w:rsidRDefault="00D423F8" w:rsidP="009C03CE">
      <w:pPr>
        <w:pStyle w:val="BodyText"/>
      </w:pPr>
    </w:p>
    <w:p w14:paraId="249A24EE" w14:textId="77777777" w:rsidR="0095680D" w:rsidRDefault="0095680D" w:rsidP="0095680D">
      <w:pPr>
        <w:pStyle w:val="BodyText"/>
      </w:pPr>
    </w:p>
    <w:p w14:paraId="48878964" w14:textId="77777777" w:rsidR="0095680D" w:rsidRPr="00061B07" w:rsidRDefault="0095680D" w:rsidP="0095680D">
      <w:pPr>
        <w:pStyle w:val="Disclaimer"/>
      </w:pPr>
      <w:r w:rsidRPr="00061B07">
        <w:t>Nothing contained in this or any other document available at Co</w:t>
      </w:r>
      <w:r w:rsidRPr="00061B07">
        <w:t>n</w:t>
      </w:r>
      <w:r w:rsidRPr="00061B07">
        <w:t xml:space="preserve">servationTools.org </w:t>
      </w:r>
      <w:proofErr w:type="gramStart"/>
      <w:r w:rsidRPr="00061B07">
        <w:t>is intended to be relied</w:t>
      </w:r>
      <w:proofErr w:type="gramEnd"/>
      <w:r w:rsidRPr="00061B07">
        <w:t xml:space="preserve"> upon as legal advice. The authors disclaim any attorney-client relationship with anyone to whom this document is furnished. Nothing contained in this doc</w:t>
      </w:r>
      <w:r w:rsidRPr="00061B07">
        <w:t>u</w:t>
      </w:r>
      <w:r w:rsidRPr="00061B07">
        <w:t>ment is intended to be used, and cannot be used, for the purpose of (</w:t>
      </w:r>
      <w:proofErr w:type="spellStart"/>
      <w:r w:rsidRPr="00061B07">
        <w:t>i</w:t>
      </w:r>
      <w:proofErr w:type="spellEnd"/>
      <w:r w:rsidRPr="00061B07">
        <w:t>) avoiding penalties under the Internal Revenue Code or (ii) pr</w:t>
      </w:r>
      <w:r w:rsidRPr="00061B07">
        <w:t>o</w:t>
      </w:r>
      <w:r w:rsidRPr="00061B07">
        <w:t>moting, marketing or recommending to any person any transaction or matter addressed in this document.</w:t>
      </w:r>
    </w:p>
    <w:p w14:paraId="12AE8D62" w14:textId="77777777" w:rsidR="0095680D" w:rsidRDefault="0095680D" w:rsidP="0095680D">
      <w:pPr>
        <w:pStyle w:val="BodyText"/>
      </w:pPr>
    </w:p>
    <w:p w14:paraId="3C35FD7B" w14:textId="77777777" w:rsidR="00D423F8" w:rsidRDefault="00D423F8" w:rsidP="009C03CE">
      <w:pPr>
        <w:pStyle w:val="BodyText"/>
      </w:pPr>
    </w:p>
    <w:p w14:paraId="391ED12C" w14:textId="0B2E4357" w:rsidR="009C03CE" w:rsidRDefault="0095696D" w:rsidP="009C03CE">
      <w:pPr>
        <w:pStyle w:val="BodyText"/>
      </w:pPr>
      <w:r>
        <w:t xml:space="preserve">© </w:t>
      </w:r>
      <w:r w:rsidR="00F34DC1">
        <w:t xml:space="preserve">2015, </w:t>
      </w:r>
      <w:r w:rsidR="0099471C">
        <w:t>2014</w:t>
      </w:r>
      <w:r w:rsidR="009C03CE" w:rsidRPr="00FA0461">
        <w:t xml:space="preserve"> Pennsylvania Land Trust Association</w:t>
      </w:r>
    </w:p>
    <w:p w14:paraId="6E4B4CC3" w14:textId="77777777" w:rsidR="00991AE0" w:rsidRDefault="009C03CE" w:rsidP="009C03CE">
      <w:pPr>
        <w:pStyle w:val="BodyText"/>
      </w:pPr>
      <w:r>
        <w:t xml:space="preserve">Text may be excerpted and reproduced </w:t>
      </w:r>
      <w:r w:rsidRPr="00FA0461">
        <w:t>with acknow</w:t>
      </w:r>
      <w:r w:rsidRPr="00FA0461">
        <w:t>l</w:t>
      </w:r>
      <w:r w:rsidRPr="00FA0461">
        <w:t xml:space="preserve">edgement of </w:t>
      </w:r>
      <w:hyperlink r:id="rId42" w:history="1">
        <w:r w:rsidRPr="00FA0461">
          <w:rPr>
            <w:rStyle w:val="Hyperlink"/>
            <w:i/>
          </w:rPr>
          <w:t>ConservationTools.org</w:t>
        </w:r>
      </w:hyperlink>
      <w:r>
        <w:t xml:space="preserve"> and the Pennsylvania Land Trust Association.</w:t>
      </w:r>
    </w:p>
    <w:p w14:paraId="59CCD57E" w14:textId="77777777" w:rsidR="00560FB8" w:rsidRPr="00767F73" w:rsidRDefault="00560FB8" w:rsidP="00560FB8"/>
    <w:sectPr w:rsidR="00560FB8" w:rsidRPr="00767F73" w:rsidSect="00A667F6">
      <w:headerReference w:type="even" r:id="rId43"/>
      <w:headerReference w:type="default" r:id="rId44"/>
      <w:footerReference w:type="default" r:id="rId45"/>
      <w:headerReference w:type="first" r:id="rId46"/>
      <w:footerReference w:type="first" r:id="rId47"/>
      <w:endnotePr>
        <w:numFmt w:val="decimal"/>
      </w:endnotePr>
      <w:pgSz w:w="12240" w:h="15840"/>
      <w:pgMar w:top="1152" w:right="576" w:bottom="864" w:left="576" w:header="576" w:footer="576" w:gutter="0"/>
      <w:cols w:num="2" w:space="4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E1820" w14:textId="77777777" w:rsidR="002A039D" w:rsidRDefault="002A039D" w:rsidP="00421A32">
      <w:r>
        <w:separator/>
      </w:r>
    </w:p>
  </w:endnote>
  <w:endnote w:type="continuationSeparator" w:id="0">
    <w:p w14:paraId="78C149B2" w14:textId="77777777" w:rsidR="002A039D" w:rsidRDefault="002A039D" w:rsidP="0042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9AF94" w14:textId="47505A34" w:rsidR="002A039D" w:rsidRPr="00A94518" w:rsidRDefault="002A039D" w:rsidP="008065D8">
    <w:pPr>
      <w:pStyle w:val="Footer"/>
      <w:tabs>
        <w:tab w:val="right" w:pos="11070"/>
      </w:tabs>
    </w:pPr>
    <w:r w:rsidRPr="00A94518">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F9243" w14:textId="716001B4" w:rsidR="002A039D" w:rsidRPr="00A667F6" w:rsidRDefault="002A039D" w:rsidP="00A667F6">
    <w:pPr>
      <w:pStyle w:val="Footer"/>
    </w:pPr>
    <w:r w:rsidRPr="00A667F6">
      <w:t>Las</w:t>
    </w:r>
    <w:r>
      <w:t>t updated on 3/24/2015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70619" w14:textId="77777777" w:rsidR="002A039D" w:rsidRDefault="002A039D" w:rsidP="00421A32">
      <w:r>
        <w:separator/>
      </w:r>
    </w:p>
  </w:footnote>
  <w:footnote w:type="continuationSeparator" w:id="0">
    <w:p w14:paraId="7B868A26" w14:textId="77777777" w:rsidR="002A039D" w:rsidRDefault="002A039D" w:rsidP="00421A32">
      <w:r>
        <w:continuationSeparator/>
      </w:r>
    </w:p>
  </w:footnote>
  <w:footnote w:id="1">
    <w:p w14:paraId="2B2A2566" w14:textId="0C026167" w:rsidR="002A039D" w:rsidRDefault="002A039D" w:rsidP="00C2281E">
      <w:pPr>
        <w:pStyle w:val="FootnoteText"/>
      </w:pPr>
      <w:r>
        <w:rPr>
          <w:rStyle w:val="FootnoteReference"/>
        </w:rPr>
        <w:footnoteRef/>
      </w:r>
      <w:r>
        <w:t xml:space="preserve"> </w:t>
      </w:r>
      <w:r w:rsidRPr="00682174">
        <w:t>The Pennsylvania Conservation and Preservation Eas</w:t>
      </w:r>
      <w:r w:rsidRPr="00682174">
        <w:t>e</w:t>
      </w:r>
      <w:r w:rsidRPr="00682174">
        <w:t>ments Act, the act of June 22, 2001 (P.L. 390, No. 29) (32 P.S. §§5051-5059) was enacted in its final form as House Bill 975, PN 2294</w:t>
      </w:r>
      <w:r>
        <w:t xml:space="preserve">. </w:t>
      </w:r>
      <w:hyperlink r:id="rId1" w:history="1">
        <w:r w:rsidRPr="00E17010">
          <w:rPr>
            <w:rStyle w:val="Hyperlink"/>
          </w:rPr>
          <w:t>http://conservationtools.org/guides/show/89</w:t>
        </w:r>
      </w:hyperlink>
      <w:r>
        <w:t>.</w:t>
      </w:r>
    </w:p>
  </w:footnote>
  <w:footnote w:id="2">
    <w:p w14:paraId="38D8FF4D" w14:textId="4D689704" w:rsidR="002A039D" w:rsidRDefault="002A039D" w:rsidP="00C2281E">
      <w:pPr>
        <w:pStyle w:val="FootnoteText"/>
      </w:pPr>
      <w:r>
        <w:rPr>
          <w:rStyle w:val="FootnoteReference"/>
        </w:rPr>
        <w:footnoteRef/>
      </w:r>
      <w:r>
        <w:t xml:space="preserve"> 26 IRC §501(c)(3), accompanying regulations, and gui</w:t>
      </w:r>
      <w:r>
        <w:t>d</w:t>
      </w:r>
      <w:r>
        <w:t>ance pertaining to private benefit and private inurement rules published online by the Internal Revenue Service will be referred to in this guide as the “IRC charitable exemption rules.”</w:t>
      </w:r>
    </w:p>
  </w:footnote>
  <w:footnote w:id="3">
    <w:p w14:paraId="77C70C6E" w14:textId="15A944CB" w:rsidR="002A039D" w:rsidRDefault="002A039D" w:rsidP="00C2281E">
      <w:pPr>
        <w:pStyle w:val="FootnoteText"/>
      </w:pPr>
      <w:r>
        <w:rPr>
          <w:rStyle w:val="FootnoteReference"/>
        </w:rPr>
        <w:footnoteRef/>
      </w:r>
      <w:r>
        <w:t xml:space="preserve"> 26 IRC §170(h) and accompanying regulations will be r</w:t>
      </w:r>
      <w:r>
        <w:t>e</w:t>
      </w:r>
      <w:r>
        <w:t>ferred to in this guide as the “IRC charitable gift rules.”</w:t>
      </w:r>
    </w:p>
  </w:footnote>
  <w:footnote w:id="4">
    <w:p w14:paraId="2A34C189" w14:textId="672E7DAF" w:rsidR="002A039D" w:rsidRPr="00A04DEA" w:rsidRDefault="002A039D" w:rsidP="00C2281E">
      <w:pPr>
        <w:pStyle w:val="FootnoteText"/>
        <w:rPr>
          <w:bCs/>
        </w:rPr>
      </w:pPr>
      <w:r>
        <w:rPr>
          <w:rStyle w:val="FootnoteReference"/>
        </w:rPr>
        <w:footnoteRef/>
      </w:r>
      <w:r>
        <w:t xml:space="preserve"> </w:t>
      </w:r>
      <w:proofErr w:type="gramStart"/>
      <w:r>
        <w:rPr>
          <w:bCs/>
        </w:rPr>
        <w:t>T</w:t>
      </w:r>
      <w:r w:rsidRPr="007F0855">
        <w:rPr>
          <w:bCs/>
        </w:rPr>
        <w:t xml:space="preserve">he </w:t>
      </w:r>
      <w:r>
        <w:rPr>
          <w:bCs/>
        </w:rPr>
        <w:t>“</w:t>
      </w:r>
      <w:hyperlink r:id="rId2" w:history="1">
        <w:r w:rsidRPr="001A44B3">
          <w:rPr>
            <w:rStyle w:val="Hyperlink"/>
            <w:i/>
          </w:rPr>
          <w:t>Nature of the Conservation Easement</w:t>
        </w:r>
      </w:hyperlink>
      <w:r>
        <w:rPr>
          <w:bCs/>
        </w:rPr>
        <w:t>” for short.</w:t>
      </w:r>
      <w:proofErr w:type="gramEnd"/>
      <w:r>
        <w:rPr>
          <w:bCs/>
        </w:rPr>
        <w:t xml:space="preserve"> </w:t>
      </w:r>
      <w:proofErr w:type="gramStart"/>
      <w:r>
        <w:rPr>
          <w:bCs/>
        </w:rPr>
        <w:t>Pen</w:t>
      </w:r>
      <w:r>
        <w:rPr>
          <w:bCs/>
        </w:rPr>
        <w:t>n</w:t>
      </w:r>
      <w:r>
        <w:rPr>
          <w:bCs/>
        </w:rPr>
        <w:t>sylvania Land Trust Association (2014).</w:t>
      </w:r>
      <w:proofErr w:type="gramEnd"/>
      <w:r>
        <w:rPr>
          <w:bCs/>
        </w:rPr>
        <w:t xml:space="preserve"> </w:t>
      </w:r>
      <w:hyperlink r:id="rId3" w:history="1">
        <w:r w:rsidRPr="007B689B">
          <w:rPr>
            <w:rStyle w:val="Hyperlink"/>
            <w:bCs/>
          </w:rPr>
          <w:t>http://conservationtools.org/guides/show/138</w:t>
        </w:r>
      </w:hyperlink>
      <w:r>
        <w:rPr>
          <w:bCs/>
        </w:rPr>
        <w:t>.</w:t>
      </w:r>
    </w:p>
  </w:footnote>
  <w:footnote w:id="5">
    <w:p w14:paraId="44F17C10" w14:textId="2EFC4D4E" w:rsidR="002A039D" w:rsidRDefault="002A039D" w:rsidP="00C2281E">
      <w:pPr>
        <w:pStyle w:val="FootnoteText"/>
      </w:pPr>
      <w:r>
        <w:rPr>
          <w:rStyle w:val="FootnoteReference"/>
        </w:rPr>
        <w:footnoteRef/>
      </w:r>
      <w:r>
        <w:t xml:space="preserve"> Readers are urged to review the concepts covered in the </w:t>
      </w:r>
      <w:hyperlink r:id="rId4" w:history="1">
        <w:r w:rsidRPr="001A44B3">
          <w:rPr>
            <w:rStyle w:val="Hyperlink"/>
            <w:i/>
          </w:rPr>
          <w:t>Nature of the Conservation Easement</w:t>
        </w:r>
      </w:hyperlink>
      <w:r>
        <w:t xml:space="preserve"> in part because a number of terms are sometimes misused or defined within the frameworks of bodies of law (contract law or trust law) that are inapplicable to the law governing conservation eas</w:t>
      </w:r>
      <w:r>
        <w:t>e</w:t>
      </w:r>
      <w:r>
        <w:t>ments and other servitudes—the law of servitudes.</w:t>
      </w:r>
    </w:p>
  </w:footnote>
  <w:footnote w:id="6">
    <w:p w14:paraId="2C803617" w14:textId="06EB11BB" w:rsidR="002A039D" w:rsidRPr="00AD330E" w:rsidRDefault="002A039D">
      <w:pPr>
        <w:pStyle w:val="FootnoteText"/>
        <w:rPr>
          <w:bCs/>
        </w:rPr>
      </w:pPr>
      <w:r>
        <w:rPr>
          <w:rStyle w:val="FootnoteReference"/>
        </w:rPr>
        <w:footnoteRef/>
      </w:r>
      <w:r>
        <w:t xml:space="preserve"> </w:t>
      </w:r>
      <w:proofErr w:type="gramStart"/>
      <w:r>
        <w:rPr>
          <w:bCs/>
        </w:rPr>
        <w:t>Pennsylvania Land Trust Association (2014).</w:t>
      </w:r>
      <w:proofErr w:type="gramEnd"/>
      <w:r>
        <w:rPr>
          <w:bCs/>
        </w:rPr>
        <w:t xml:space="preserve"> </w:t>
      </w:r>
      <w:hyperlink r:id="rId5" w:history="1">
        <w:r w:rsidRPr="007B689B">
          <w:rPr>
            <w:rStyle w:val="Hyperlink"/>
            <w:bCs/>
          </w:rPr>
          <w:t>http://conservationtools.org/libraries/1/library_items/1317</w:t>
        </w:r>
      </w:hyperlink>
      <w:r>
        <w:rPr>
          <w:bCs/>
        </w:rPr>
        <w:t>.</w:t>
      </w:r>
    </w:p>
  </w:footnote>
  <w:footnote w:id="7">
    <w:p w14:paraId="0F6B7158" w14:textId="67D170D9" w:rsidR="002A039D" w:rsidRPr="00585B3F" w:rsidRDefault="002A039D" w:rsidP="00816EF2">
      <w:pPr>
        <w:pStyle w:val="FootnoteText"/>
        <w:rPr>
          <w:color w:val="000000"/>
        </w:rPr>
      </w:pPr>
      <w:r>
        <w:rPr>
          <w:rStyle w:val="FootnoteReference"/>
        </w:rPr>
        <w:footnoteRef/>
      </w:r>
      <w:r>
        <w:t xml:space="preserve"> Easement holders are referred to in this guide as “hol</w:t>
      </w:r>
      <w:r>
        <w:t>d</w:t>
      </w:r>
      <w:r>
        <w:t>ers.” Only governmental entities and land trusts meeting specific criteria may be holders under the CPEA (§2).</w:t>
      </w:r>
    </w:p>
  </w:footnote>
  <w:footnote w:id="8">
    <w:p w14:paraId="27E7FC6F" w14:textId="740C8F3A" w:rsidR="002A039D" w:rsidRDefault="002A039D" w:rsidP="00C2281E">
      <w:pPr>
        <w:pStyle w:val="FootnoteText"/>
      </w:pPr>
      <w:r>
        <w:rPr>
          <w:rStyle w:val="FootnoteReference"/>
        </w:rPr>
        <w:footnoteRef/>
      </w:r>
      <w:r>
        <w:t xml:space="preserve"> The legal document by which a conservation easement is granted to holder is referred to in this guide as the “grant.” </w:t>
      </w:r>
      <w:hyperlink r:id="rId6" w:history="1">
        <w:r w:rsidRPr="001A44B3">
          <w:rPr>
            <w:rStyle w:val="Hyperlink"/>
            <w:i/>
          </w:rPr>
          <w:t>Nature of the Conservation Easement</w:t>
        </w:r>
      </w:hyperlink>
      <w:r>
        <w:t xml:space="preserve"> explains that the grant is not the conservation easement but rather the instrument used to convey the property </w:t>
      </w:r>
      <w:proofErr w:type="gramStart"/>
      <w:r>
        <w:t>interest which</w:t>
      </w:r>
      <w:proofErr w:type="gramEnd"/>
      <w:r>
        <w:t xml:space="preserve"> is the conserv</w:t>
      </w:r>
      <w:r>
        <w:t>a</w:t>
      </w:r>
      <w:r>
        <w:t>tion easement; as reviewed later in the guide, an amendment of the grant may or may not change the co</w:t>
      </w:r>
      <w:r>
        <w:t>n</w:t>
      </w:r>
      <w:r>
        <w:t>servation easement.</w:t>
      </w:r>
    </w:p>
  </w:footnote>
  <w:footnote w:id="9">
    <w:p w14:paraId="7284AEE3" w14:textId="3F54DF73" w:rsidR="002A039D" w:rsidRDefault="002A039D" w:rsidP="00C2281E">
      <w:pPr>
        <w:pStyle w:val="FootnoteText"/>
      </w:pPr>
      <w:r>
        <w:rPr>
          <w:rStyle w:val="FootnoteReference"/>
        </w:rPr>
        <w:footnoteRef/>
      </w:r>
      <w:r>
        <w:t xml:space="preserve"> A </w:t>
      </w:r>
      <w:r w:rsidRPr="007C1651">
        <w:rPr>
          <w:i/>
        </w:rPr>
        <w:t>third-party right of enforcement</w:t>
      </w:r>
      <w:r>
        <w:t xml:space="preserve"> is defined in §3 of the CPEA as “a right provided in a conservation easement to enforce any of its terms, granted to a governmental body, charitable corporation, charitable association or charitable trust, which, although eligible to be a holder, is not a hol</w:t>
      </w:r>
      <w:r>
        <w:t>d</w:t>
      </w:r>
      <w:r>
        <w:t>er.”</w:t>
      </w:r>
    </w:p>
  </w:footnote>
  <w:footnote w:id="10">
    <w:p w14:paraId="67361E44" w14:textId="27DFE9BC" w:rsidR="002A039D" w:rsidRDefault="002A039D" w:rsidP="00C2281E">
      <w:pPr>
        <w:pStyle w:val="FootnoteText"/>
      </w:pPr>
      <w:r>
        <w:rPr>
          <w:rStyle w:val="FootnoteReference"/>
        </w:rPr>
        <w:footnoteRef/>
      </w:r>
      <w:r>
        <w:t xml:space="preserve"> The beneficiary of </w:t>
      </w:r>
      <w:proofErr w:type="gramStart"/>
      <w:r>
        <w:t>a servitude</w:t>
      </w:r>
      <w:proofErr w:type="gramEnd"/>
      <w:r>
        <w:t xml:space="preserve"> is the person benefited by an easement or covenant running with the land. The benef</w:t>
      </w:r>
      <w:r>
        <w:t>i</w:t>
      </w:r>
      <w:r>
        <w:t xml:space="preserve">ciary of a trust is the person for whose benefit the trustee holds and administers the trust property. These are two separate concepts. It is illogical to conclude that because a conservation easement has a beneficiary and a trust has a beneficiary, then a conservation easement must be a kind of trust subject to equitable trust principles. The </w:t>
      </w:r>
      <w:proofErr w:type="gramStart"/>
      <w:r>
        <w:t xml:space="preserve">issue of whether the grant creates a public trust is discussed in the guide </w:t>
      </w:r>
      <w:hyperlink r:id="rId7" w:history="1">
        <w:r w:rsidRPr="00BA3138">
          <w:rPr>
            <w:rStyle w:val="Hyperlink"/>
            <w:i/>
          </w:rPr>
          <w:t xml:space="preserve">Not a Public Trust: </w:t>
        </w:r>
        <w:r>
          <w:rPr>
            <w:rStyle w:val="Hyperlink"/>
            <w:i/>
          </w:rPr>
          <w:t xml:space="preserve">The </w:t>
        </w:r>
        <w:r w:rsidRPr="00BA3138">
          <w:rPr>
            <w:rStyle w:val="Hyperlink"/>
            <w:i/>
          </w:rPr>
          <w:t>Land T</w:t>
        </w:r>
        <w:r>
          <w:rPr>
            <w:rStyle w:val="Hyperlink"/>
            <w:i/>
          </w:rPr>
          <w:t>rust-Held Conservation Easement</w:t>
        </w:r>
        <w:r w:rsidRPr="00BA3138">
          <w:rPr>
            <w:rStyle w:val="Hyperlink"/>
            <w:i/>
          </w:rPr>
          <w:t xml:space="preserve"> in Pennsylvania</w:t>
        </w:r>
      </w:hyperlink>
      <w:r>
        <w:t xml:space="preserve"> published by the Pennsylvania Land Trust Association at </w:t>
      </w:r>
      <w:hyperlink r:id="rId8" w:history="1">
        <w:r w:rsidRPr="007B689B">
          <w:rPr>
            <w:rStyle w:val="Hyperlink"/>
          </w:rPr>
          <w:t>http://conservationtools.org/guides/show/136</w:t>
        </w:r>
        <w:proofErr w:type="gramEnd"/>
      </w:hyperlink>
      <w:r>
        <w:t xml:space="preserve">. The </w:t>
      </w:r>
      <w:proofErr w:type="gramStart"/>
      <w:r>
        <w:t xml:space="preserve">issue of whether the grant creates a charitable trust is discussed in the guide </w:t>
      </w:r>
      <w:hyperlink r:id="rId9" w:history="1">
        <w:r w:rsidRPr="00251BA5">
          <w:rPr>
            <w:rStyle w:val="Hyperlink"/>
            <w:i/>
          </w:rPr>
          <w:t>Not (Usually) a Charitable Trus</w:t>
        </w:r>
        <w:r>
          <w:rPr>
            <w:rStyle w:val="Hyperlink"/>
            <w:i/>
          </w:rPr>
          <w:t>t: The Conservation Easement in Pennsylvania</w:t>
        </w:r>
      </w:hyperlink>
      <w:r>
        <w:t xml:space="preserve"> published by the Pennsylvania Land Trust Association at </w:t>
      </w:r>
      <w:hyperlink r:id="rId10" w:history="1">
        <w:r w:rsidRPr="007B689B">
          <w:rPr>
            <w:rStyle w:val="Hyperlink"/>
          </w:rPr>
          <w:t>http://conservationtools.org/guides/show/137</w:t>
        </w:r>
        <w:proofErr w:type="gramEnd"/>
      </w:hyperlink>
      <w:r>
        <w:t>.</w:t>
      </w:r>
    </w:p>
  </w:footnote>
  <w:footnote w:id="11">
    <w:p w14:paraId="223414CF" w14:textId="71C072FD" w:rsidR="002A039D" w:rsidRDefault="002A039D" w:rsidP="00C2281E">
      <w:pPr>
        <w:pStyle w:val="FootnoteText"/>
      </w:pPr>
      <w:r>
        <w:rPr>
          <w:rStyle w:val="FootnoteReference"/>
        </w:rPr>
        <w:footnoteRef/>
      </w:r>
      <w:r>
        <w:t xml:space="preserve"> See the guides </w:t>
      </w:r>
      <w:hyperlink r:id="rId11" w:history="1">
        <w:r w:rsidRPr="001A44B3">
          <w:rPr>
            <w:rStyle w:val="Hyperlink"/>
            <w:i/>
          </w:rPr>
          <w:t>Nature of the Conservation Easement</w:t>
        </w:r>
      </w:hyperlink>
      <w:r>
        <w:t xml:space="preserve">, </w:t>
      </w:r>
      <w:hyperlink r:id="rId12" w:history="1">
        <w:r w:rsidRPr="002D2C8E">
          <w:rPr>
            <w:rStyle w:val="Hyperlink"/>
            <w:i/>
          </w:rPr>
          <w:t>Who Has Standing?</w:t>
        </w:r>
      </w:hyperlink>
      <w:r>
        <w:t xml:space="preserve"> </w:t>
      </w:r>
      <w:proofErr w:type="gramStart"/>
      <w:r>
        <w:t>and</w:t>
      </w:r>
      <w:proofErr w:type="gramEnd"/>
      <w:r>
        <w:t xml:space="preserve"> </w:t>
      </w:r>
      <w:hyperlink r:id="rId13" w:history="1">
        <w:r>
          <w:rPr>
            <w:rStyle w:val="Hyperlink"/>
            <w:i/>
          </w:rPr>
          <w:t>Holder</w:t>
        </w:r>
        <w:r w:rsidRPr="002D2C8E">
          <w:rPr>
            <w:rStyle w:val="Hyperlink"/>
            <w:i/>
          </w:rPr>
          <w:t>s, Beneficiaries and Backup Grantees</w:t>
        </w:r>
      </w:hyperlink>
      <w:r>
        <w:t xml:space="preserve">, all published by the Pennsylvania Land Trust Association at </w:t>
      </w:r>
      <w:hyperlink r:id="rId14" w:history="1">
        <w:r w:rsidRPr="007B689B">
          <w:rPr>
            <w:rStyle w:val="Hyperlink"/>
          </w:rPr>
          <w:t>http://ConservationTools.org</w:t>
        </w:r>
      </w:hyperlink>
      <w:r>
        <w:t>, for additional discussion of beneficiary and standing issues.</w:t>
      </w:r>
    </w:p>
  </w:footnote>
  <w:footnote w:id="12">
    <w:p w14:paraId="08CC18D5" w14:textId="0E5C49F7" w:rsidR="002A039D" w:rsidRDefault="002A039D" w:rsidP="00147DE0">
      <w:pPr>
        <w:pStyle w:val="FootnoteText"/>
      </w:pPr>
      <w:r>
        <w:rPr>
          <w:rStyle w:val="FootnoteReference"/>
        </w:rPr>
        <w:footnoteRef/>
      </w:r>
      <w:r>
        <w:t xml:space="preserve"> The CPEA provides in §4(a) that ”a conservation eas</w:t>
      </w:r>
      <w:r>
        <w:t>e</w:t>
      </w:r>
      <w:r>
        <w:t>ment ... may be ... modified, terminated or otherwise altered or affected in the same manner as other easements.”</w:t>
      </w:r>
    </w:p>
  </w:footnote>
  <w:footnote w:id="13">
    <w:p w14:paraId="18E14E8A" w14:textId="77777777" w:rsidR="002A039D" w:rsidRDefault="002A039D" w:rsidP="00147DE0">
      <w:pPr>
        <w:pStyle w:val="FootnoteText"/>
      </w:pPr>
      <w:r>
        <w:rPr>
          <w:rStyle w:val="FootnoteReference"/>
        </w:rPr>
        <w:footnoteRef/>
      </w:r>
      <w:r>
        <w:t xml:space="preserve"> 21 P.S. §42 </w:t>
      </w:r>
      <w:proofErr w:type="gramStart"/>
      <w:r w:rsidRPr="009E1FD3">
        <w:rPr>
          <w:i/>
        </w:rPr>
        <w:t>et</w:t>
      </w:r>
      <w:proofErr w:type="gramEnd"/>
      <w:r w:rsidRPr="009E1FD3">
        <w:rPr>
          <w:i/>
        </w:rPr>
        <w:t xml:space="preserve"> seq</w:t>
      </w:r>
      <w:r>
        <w:t>.</w:t>
      </w:r>
    </w:p>
  </w:footnote>
  <w:footnote w:id="14">
    <w:p w14:paraId="168ECF97" w14:textId="69A5ED27" w:rsidR="002A039D" w:rsidRDefault="002A039D" w:rsidP="00147DE0">
      <w:pPr>
        <w:pStyle w:val="FootnoteText"/>
      </w:pPr>
      <w:r>
        <w:rPr>
          <w:rStyle w:val="FootnoteReference"/>
        </w:rPr>
        <w:footnoteRef/>
      </w:r>
      <w:r>
        <w:t xml:space="preserve"> </w:t>
      </w:r>
      <w:proofErr w:type="gramStart"/>
      <w:r w:rsidRPr="000C3D25">
        <w:t>Pennsylvania Land Trust Association</w:t>
      </w:r>
      <w:r>
        <w:t xml:space="preserve"> (2011).</w:t>
      </w:r>
      <w:proofErr w:type="gramEnd"/>
      <w:r>
        <w:t xml:space="preserve"> </w:t>
      </w:r>
      <w:hyperlink r:id="rId15" w:history="1">
        <w:r w:rsidRPr="007B689B">
          <w:rPr>
            <w:rStyle w:val="Hyperlink"/>
          </w:rPr>
          <w:t>http://conservationtools.org/libraries/1/library_items/323</w:t>
        </w:r>
      </w:hyperlink>
      <w:r>
        <w:t>.</w:t>
      </w:r>
    </w:p>
  </w:footnote>
  <w:footnote w:id="15">
    <w:p w14:paraId="7FBE83F5" w14:textId="679D42CB" w:rsidR="002A039D" w:rsidRDefault="002A039D" w:rsidP="00147DE0">
      <w:pPr>
        <w:pStyle w:val="FootnoteText"/>
      </w:pPr>
      <w:r>
        <w:rPr>
          <w:rStyle w:val="FootnoteReference"/>
        </w:rPr>
        <w:footnoteRef/>
      </w:r>
      <w:r>
        <w:t xml:space="preserve"> </w:t>
      </w:r>
      <w:proofErr w:type="gramStart"/>
      <w:r>
        <w:t xml:space="preserve">Ibid at </w:t>
      </w:r>
      <w:r w:rsidRPr="00003662">
        <w:t>§5.03.</w:t>
      </w:r>
      <w:proofErr w:type="gramEnd"/>
    </w:p>
  </w:footnote>
  <w:footnote w:id="16">
    <w:p w14:paraId="4AD93F5F" w14:textId="77777777" w:rsidR="002A039D" w:rsidRDefault="002A039D" w:rsidP="00147DE0">
      <w:pPr>
        <w:pStyle w:val="FootnoteText"/>
      </w:pPr>
      <w:r>
        <w:rPr>
          <w:rStyle w:val="FootnoteReference"/>
        </w:rPr>
        <w:footnoteRef/>
      </w:r>
      <w:r>
        <w:t xml:space="preserve"> </w:t>
      </w:r>
      <w:proofErr w:type="gramStart"/>
      <w:r>
        <w:t>CPEA §4(a).</w:t>
      </w:r>
      <w:proofErr w:type="gramEnd"/>
    </w:p>
  </w:footnote>
  <w:footnote w:id="17">
    <w:p w14:paraId="0B60F29C" w14:textId="77F9C117" w:rsidR="002A039D" w:rsidRDefault="002A039D" w:rsidP="00147DE0">
      <w:pPr>
        <w:pStyle w:val="FootnoteText"/>
      </w:pPr>
      <w:r>
        <w:rPr>
          <w:rStyle w:val="FootnoteReference"/>
        </w:rPr>
        <w:footnoteRef/>
      </w:r>
      <w:r>
        <w:t xml:space="preserve"> </w:t>
      </w:r>
      <w:proofErr w:type="spellStart"/>
      <w:r>
        <w:t>Conveyancing</w:t>
      </w:r>
      <w:proofErr w:type="spellEnd"/>
      <w:r>
        <w:t xml:space="preserve"> procedures are mentioned here to correct a misconception that has crept into amendment discussions. A “swap” of land subject to an easement is not the exchange of one legal description of the eased property for another. The </w:t>
      </w:r>
      <w:proofErr w:type="gramStart"/>
      <w:r>
        <w:t>land area no longer subject to the easement must be released from the easement by the holder</w:t>
      </w:r>
      <w:proofErr w:type="gramEnd"/>
      <w:r>
        <w:t>. Concurrently, the landowners grant and convey an easement on the replac</w:t>
      </w:r>
      <w:r>
        <w:t>e</w:t>
      </w:r>
      <w:r>
        <w:t>ment land area to holder. The parties then confirm the new legal description as the eased property. The use of reco</w:t>
      </w:r>
      <w:r>
        <w:t>g</w:t>
      </w:r>
      <w:r>
        <w:t xml:space="preserve">nized </w:t>
      </w:r>
      <w:proofErr w:type="spellStart"/>
      <w:r>
        <w:t>conveyancing</w:t>
      </w:r>
      <w:proofErr w:type="spellEnd"/>
      <w:r>
        <w:t xml:space="preserve"> procedures is important not only for clarity of the public records but also to ensure that the pa</w:t>
      </w:r>
      <w:r>
        <w:t>r</w:t>
      </w:r>
      <w:r>
        <w:t xml:space="preserve">ties recognize that a swap involves the release of land from the operation of the grant. </w:t>
      </w:r>
    </w:p>
  </w:footnote>
  <w:footnote w:id="18">
    <w:p w14:paraId="21480F02" w14:textId="79FD9768" w:rsidR="002A039D" w:rsidRDefault="002A039D" w:rsidP="00147DE0">
      <w:pPr>
        <w:pStyle w:val="FootnoteText"/>
      </w:pPr>
      <w:r>
        <w:rPr>
          <w:rStyle w:val="FootnoteReference"/>
        </w:rPr>
        <w:footnoteRef/>
      </w:r>
      <w:r>
        <w:t xml:space="preserve"> </w:t>
      </w:r>
      <w:proofErr w:type="gramStart"/>
      <w:r>
        <w:t>CPEA §5(d)(1)(</w:t>
      </w:r>
      <w:proofErr w:type="spellStart"/>
      <w:r>
        <w:t>i</w:t>
      </w:r>
      <w:proofErr w:type="spellEnd"/>
      <w:r>
        <w:t>).</w:t>
      </w:r>
      <w:proofErr w:type="gramEnd"/>
    </w:p>
  </w:footnote>
  <w:footnote w:id="19">
    <w:p w14:paraId="64748C60" w14:textId="10A6575C" w:rsidR="002A039D" w:rsidRDefault="002A039D" w:rsidP="00147DE0">
      <w:pPr>
        <w:pStyle w:val="FootnoteText"/>
      </w:pPr>
      <w:r>
        <w:rPr>
          <w:rStyle w:val="FootnoteReference"/>
        </w:rPr>
        <w:footnoteRef/>
      </w:r>
      <w:r>
        <w:t xml:space="preserve"> </w:t>
      </w:r>
      <w:proofErr w:type="gramStart"/>
      <w:r>
        <w:t>CPEA §5(d)(1)(ii).</w:t>
      </w:r>
      <w:proofErr w:type="gramEnd"/>
    </w:p>
  </w:footnote>
  <w:footnote w:id="20">
    <w:p w14:paraId="663A381B" w14:textId="58723186" w:rsidR="002A039D" w:rsidRDefault="002A039D" w:rsidP="00147DE0">
      <w:pPr>
        <w:pStyle w:val="FootnoteText"/>
      </w:pPr>
      <w:r>
        <w:rPr>
          <w:rStyle w:val="FootnoteReference"/>
        </w:rPr>
        <w:footnoteRef/>
      </w:r>
      <w:r>
        <w:t xml:space="preserve"> </w:t>
      </w:r>
      <w:proofErr w:type="gramStart"/>
      <w:r>
        <w:t>CPEA §5(d)(2).</w:t>
      </w:r>
      <w:proofErr w:type="gramEnd"/>
    </w:p>
  </w:footnote>
  <w:footnote w:id="21">
    <w:p w14:paraId="62875FF7" w14:textId="77777777" w:rsidR="002A039D" w:rsidRDefault="002A039D" w:rsidP="00147DE0">
      <w:pPr>
        <w:pStyle w:val="FootnoteText"/>
      </w:pPr>
      <w:r>
        <w:rPr>
          <w:rStyle w:val="FootnoteReference"/>
        </w:rPr>
        <w:footnoteRef/>
      </w:r>
      <w:r>
        <w:t xml:space="preserve"> </w:t>
      </w:r>
      <w:proofErr w:type="gramStart"/>
      <w:r>
        <w:t>CPEA §5(d).</w:t>
      </w:r>
      <w:proofErr w:type="gramEnd"/>
    </w:p>
  </w:footnote>
  <w:footnote w:id="22">
    <w:p w14:paraId="7E795FBE" w14:textId="76B431A9" w:rsidR="002A039D" w:rsidRDefault="002A039D" w:rsidP="00147DE0">
      <w:pPr>
        <w:pStyle w:val="FootnoteText"/>
      </w:pPr>
      <w:r>
        <w:rPr>
          <w:rStyle w:val="FootnoteReference"/>
        </w:rPr>
        <w:footnoteRef/>
      </w:r>
      <w:r>
        <w:t xml:space="preserve"> </w:t>
      </w:r>
      <w:r w:rsidRPr="008B7865">
        <w:t>Moreover, the concept of easement enforceability in pe</w:t>
      </w:r>
      <w:r w:rsidRPr="008B7865">
        <w:t>r</w:t>
      </w:r>
      <w:r w:rsidRPr="008B7865">
        <w:t xml:space="preserve">petuity under the IRC charitable gift rules refers to preserving the long-term viability of the </w:t>
      </w:r>
      <w:r>
        <w:t>holder’</w:t>
      </w:r>
      <w:r w:rsidRPr="008B7865">
        <w:t xml:space="preserve">s power to block inconsistent land uses. That result may </w:t>
      </w:r>
      <w:r>
        <w:t xml:space="preserve">be </w:t>
      </w:r>
      <w:r w:rsidRPr="008B7865">
        <w:t xml:space="preserve">achieved whether or not the text of the original </w:t>
      </w:r>
      <w:r>
        <w:t>grant</w:t>
      </w:r>
      <w:r w:rsidRPr="008B7865">
        <w:t xml:space="preserve"> is preserved.</w:t>
      </w:r>
    </w:p>
  </w:footnote>
  <w:footnote w:id="23">
    <w:p w14:paraId="115AF423" w14:textId="10D8B0A9" w:rsidR="002A039D" w:rsidRDefault="002A039D" w:rsidP="00147DE0">
      <w:pPr>
        <w:pStyle w:val="FootnoteText"/>
      </w:pPr>
      <w:r>
        <w:rPr>
          <w:rStyle w:val="FootnoteReference"/>
        </w:rPr>
        <w:footnoteRef/>
      </w:r>
      <w:r>
        <w:t xml:space="preserve"> From this point forward, the conservation purposes of a particular easement are usually referred to as “conservation objectives” so as to differentiate them from the generic co</w:t>
      </w:r>
      <w:r>
        <w:t>n</w:t>
      </w:r>
      <w:r>
        <w:t>servation purposes described in the IRC charitable gift rules.</w:t>
      </w:r>
    </w:p>
  </w:footnote>
  <w:footnote w:id="24">
    <w:p w14:paraId="69549CC8" w14:textId="2420935E" w:rsidR="002A039D" w:rsidRDefault="002A039D" w:rsidP="00147DE0">
      <w:pPr>
        <w:pStyle w:val="FootnoteText"/>
      </w:pPr>
      <w:r>
        <w:rPr>
          <w:rStyle w:val="FootnoteReference"/>
        </w:rPr>
        <w:footnoteRef/>
      </w:r>
      <w:r>
        <w:t xml:space="preserve"> The swap may or may not be material depending upon the acreage released and the conservation values (if any) associated with the released land. The conservation value of the land proposed to be substituted is important to dete</w:t>
      </w:r>
      <w:r>
        <w:t>r</w:t>
      </w:r>
      <w:r>
        <w:t>mine whether the exchange is in the best interest of holder in light of its charitable mission and purpose; however, it is irrelevant for purposes of determining whether the pr</w:t>
      </w:r>
      <w:r>
        <w:t>o</w:t>
      </w:r>
      <w:r>
        <w:t>posed release changes the easement and, if so, whether the change is adverse or neutral to or supportive of the conse</w:t>
      </w:r>
      <w:r>
        <w:t>r</w:t>
      </w:r>
      <w:r>
        <w:t>vation objectives.</w:t>
      </w:r>
    </w:p>
    <w:p w14:paraId="6E0F9C17" w14:textId="79F3D00F" w:rsidR="002A039D" w:rsidRDefault="002A039D" w:rsidP="00046629">
      <w:pPr>
        <w:pStyle w:val="FootnoteText"/>
        <w:ind w:left="270"/>
      </w:pPr>
      <w:r>
        <w:rPr>
          <w:i/>
        </w:rPr>
        <w:t xml:space="preserve">Example: </w:t>
      </w:r>
      <w:r>
        <w:t>A release of all or substantially all of the eased property materially changes the land area subject to the easement and is adverse to the conservation objectives inasmuch as the released property is afforded no prote</w:t>
      </w:r>
      <w:r>
        <w:t>c</w:t>
      </w:r>
      <w:r>
        <w:t>tion. On the other hand,</w:t>
      </w:r>
      <w:r>
        <w:rPr>
          <w:i/>
        </w:rPr>
        <w:t xml:space="preserve"> </w:t>
      </w:r>
      <w:r>
        <w:t>a release of a few feet along the property line upon which a neighbor’s driveway e</w:t>
      </w:r>
      <w:r>
        <w:t>n</w:t>
      </w:r>
      <w:r>
        <w:t>croaches is not a material change to the eased area and is neutral to achievement of conservation purposes.</w:t>
      </w:r>
    </w:p>
    <w:p w14:paraId="10C24382" w14:textId="77777777" w:rsidR="002A039D" w:rsidRPr="00F34DC1" w:rsidRDefault="002A039D" w:rsidP="00046629">
      <w:pPr>
        <w:pStyle w:val="FootnoteText"/>
        <w:ind w:left="270"/>
        <w:rPr>
          <w:sz w:val="6"/>
          <w:szCs w:val="6"/>
        </w:rPr>
      </w:pPr>
    </w:p>
    <w:p w14:paraId="67E40CB9" w14:textId="765BC1ED" w:rsidR="002A039D" w:rsidRDefault="002A039D" w:rsidP="00046629">
      <w:pPr>
        <w:pStyle w:val="FootnoteText"/>
        <w:ind w:left="270"/>
      </w:pPr>
      <w:r>
        <w:rPr>
          <w:i/>
        </w:rPr>
        <w:t xml:space="preserve">Example: </w:t>
      </w:r>
      <w:r>
        <w:t xml:space="preserve">A release of all or substantially all of the eased land by taking in condemnation for construction of a public highway is a material change in the easement and is adverse to the conservation objectives. However, a taking of additional right-of-way along a public road for installation of underground public utilities may not be material or, if it is, the temporary disturbance followed by restoration of natural features in accordance with an approved plan may be found neutral to or supportive of the conservation objectives. </w:t>
      </w:r>
    </w:p>
    <w:p w14:paraId="07A49B36" w14:textId="77777777" w:rsidR="002A039D" w:rsidRPr="00F34DC1" w:rsidRDefault="002A039D" w:rsidP="00F34DC1">
      <w:pPr>
        <w:pStyle w:val="FootnoteText"/>
        <w:rPr>
          <w:sz w:val="6"/>
          <w:szCs w:val="6"/>
        </w:rPr>
      </w:pPr>
    </w:p>
    <w:p w14:paraId="50E316F2" w14:textId="7406EC84" w:rsidR="002A039D" w:rsidRDefault="002A039D" w:rsidP="00F34DC1">
      <w:pPr>
        <w:pStyle w:val="FootnoteText"/>
      </w:pPr>
      <w:r>
        <w:t>This discussion pertains</w:t>
      </w:r>
      <w:r w:rsidRPr="00F34DC1">
        <w:t xml:space="preserve"> to changes in the description of the eased land </w:t>
      </w:r>
      <w:r w:rsidRPr="00F34DC1">
        <w:rPr>
          <w:i/>
        </w:rPr>
        <w:t>by amendment</w:t>
      </w:r>
      <w:r>
        <w:t>; it does not address swap</w:t>
      </w:r>
      <w:r w:rsidRPr="00F34DC1">
        <w:t xml:space="preserve"> prov</w:t>
      </w:r>
      <w:r w:rsidRPr="00F34DC1">
        <w:t>i</w:t>
      </w:r>
      <w:r w:rsidRPr="00F34DC1">
        <w:t xml:space="preserve">sions </w:t>
      </w:r>
      <w:r w:rsidR="00D6657F">
        <w:t xml:space="preserve">contained </w:t>
      </w:r>
      <w:r w:rsidRPr="00F34DC1">
        <w:t xml:space="preserve">in the original grant. </w:t>
      </w:r>
      <w:r>
        <w:t xml:space="preserve">Courts have found that grants that authorize the removal of land from the easement in exchange for other land do not meet IRC </w:t>
      </w:r>
      <w:r w:rsidR="00D6657F">
        <w:t>char</w:t>
      </w:r>
      <w:r w:rsidR="00D6657F">
        <w:t>i</w:t>
      </w:r>
      <w:r w:rsidR="00D6657F">
        <w:t xml:space="preserve">table gift </w:t>
      </w:r>
      <w:r>
        <w:t xml:space="preserve">rules that require the easement </w:t>
      </w:r>
      <w:r w:rsidR="00D6657F">
        <w:t xml:space="preserve">to </w:t>
      </w:r>
      <w:r>
        <w:t xml:space="preserve">protect a specific property in perpetuity in order to qualify </w:t>
      </w:r>
      <w:r w:rsidR="00D6657F">
        <w:t>for a tax dedu</w:t>
      </w:r>
      <w:r w:rsidR="00D6657F">
        <w:t>c</w:t>
      </w:r>
      <w:r w:rsidR="00D6657F">
        <w:t>tion under §170</w:t>
      </w:r>
      <w:r w:rsidRPr="00F34DC1">
        <w:t>.</w:t>
      </w:r>
      <w:r>
        <w:t xml:space="preserve"> </w:t>
      </w:r>
      <w:proofErr w:type="gramStart"/>
      <w:r>
        <w:rPr>
          <w:i/>
        </w:rPr>
        <w:t>Belk v. Commissioner,</w:t>
      </w:r>
      <w:r w:rsidRPr="00546E4E">
        <w:t xml:space="preserve"> </w:t>
      </w:r>
      <w:r>
        <w:t xml:space="preserve">140 T.C. 1 (2013), </w:t>
      </w:r>
      <w:r>
        <w:rPr>
          <w:i/>
        </w:rPr>
        <w:t>affd.</w:t>
      </w:r>
      <w:r>
        <w:t>774 F.3d 221 (4</w:t>
      </w:r>
      <w:r w:rsidRPr="00E72577">
        <w:rPr>
          <w:vertAlign w:val="superscript"/>
        </w:rPr>
        <w:t>th</w:t>
      </w:r>
      <w:r>
        <w:t xml:space="preserve"> Circuit 2014);</w:t>
      </w:r>
      <w:r>
        <w:rPr>
          <w:i/>
        </w:rPr>
        <w:t xml:space="preserve"> </w:t>
      </w:r>
      <w:r w:rsidRPr="0015349F">
        <w:rPr>
          <w:i/>
        </w:rPr>
        <w:t>B</w:t>
      </w:r>
      <w:r>
        <w:rPr>
          <w:i/>
        </w:rPr>
        <w:t>alsam Mountain Inves</w:t>
      </w:r>
      <w:r>
        <w:rPr>
          <w:i/>
        </w:rPr>
        <w:t>t</w:t>
      </w:r>
      <w:r>
        <w:rPr>
          <w:i/>
        </w:rPr>
        <w:t>ments, LLC.</w:t>
      </w:r>
      <w:proofErr w:type="gramEnd"/>
      <w:r>
        <w:rPr>
          <w:i/>
        </w:rPr>
        <w:t xml:space="preserve"> </w:t>
      </w:r>
      <w:proofErr w:type="gramStart"/>
      <w:r>
        <w:rPr>
          <w:i/>
        </w:rPr>
        <w:t>et</w:t>
      </w:r>
      <w:proofErr w:type="gramEnd"/>
      <w:r>
        <w:rPr>
          <w:i/>
        </w:rPr>
        <w:t xml:space="preserve"> al</w:t>
      </w:r>
      <w:r w:rsidRPr="0015349F">
        <w:rPr>
          <w:i/>
        </w:rPr>
        <w:t xml:space="preserve">. v. </w:t>
      </w:r>
      <w:r>
        <w:rPr>
          <w:i/>
        </w:rPr>
        <w:t>Commissioner</w:t>
      </w:r>
      <w:r>
        <w:t>, T.C, Memo-</w:t>
      </w:r>
      <w:r w:rsidRPr="0015349F">
        <w:t xml:space="preserve"> 2015-43</w:t>
      </w:r>
      <w:r>
        <w:t xml:space="preserve"> (</w:t>
      </w:r>
      <w:r w:rsidRPr="0015349F">
        <w:t>March 12, 2015</w:t>
      </w:r>
      <w:r>
        <w:t>)</w:t>
      </w:r>
      <w:r w:rsidRPr="0015349F">
        <w:t>.</w:t>
      </w:r>
    </w:p>
  </w:footnote>
  <w:footnote w:id="25">
    <w:p w14:paraId="32C9047A" w14:textId="24F9808E" w:rsidR="002A039D" w:rsidRDefault="002A039D" w:rsidP="00147DE0">
      <w:pPr>
        <w:pStyle w:val="FootnoteText"/>
      </w:pPr>
      <w:r>
        <w:rPr>
          <w:rStyle w:val="FootnoteReference"/>
        </w:rPr>
        <w:footnoteRef/>
      </w:r>
      <w:r>
        <w:t xml:space="preserve"> The viability of the easement’s conservation objectives is key to enforceability in perpetuity. Thus, to reduce the scope of the easement by eliminating </w:t>
      </w:r>
      <w:proofErr w:type="gramStart"/>
      <w:r>
        <w:t>a conservation</w:t>
      </w:r>
      <w:proofErr w:type="gramEnd"/>
      <w:r>
        <w:t xml:space="preserve"> obje</w:t>
      </w:r>
      <w:r>
        <w:t>c</w:t>
      </w:r>
      <w:r>
        <w:t>tive that remains pertinent and viable with respect to the eased property is a material change to the easement and is adverse to achievement of its conservation objectives.</w:t>
      </w:r>
    </w:p>
  </w:footnote>
  <w:footnote w:id="26">
    <w:p w14:paraId="64BD8C0B" w14:textId="77777777" w:rsidR="002A039D" w:rsidRDefault="002A039D" w:rsidP="00147DE0">
      <w:pPr>
        <w:pStyle w:val="FootnoteText"/>
      </w:pPr>
      <w:r>
        <w:rPr>
          <w:rStyle w:val="FootnoteReference"/>
        </w:rPr>
        <w:footnoteRef/>
      </w:r>
      <w:r>
        <w:t xml:space="preserve"> The landowner covenants clarify the operation of the easement but are not, themselves, the conservation eas</w:t>
      </w:r>
      <w:r>
        <w:t>e</w:t>
      </w:r>
      <w:r>
        <w:t xml:space="preserve">ment. In the Model Grant the landowner covenants comprise the text of Article II Transfer, Subdivision, Article III Improvements, and Article IV Activities and Uses. </w:t>
      </w:r>
    </w:p>
  </w:footnote>
  <w:footnote w:id="27">
    <w:p w14:paraId="51C5C2F3" w14:textId="52C2A21E" w:rsidR="002A039D" w:rsidRPr="005745BE" w:rsidRDefault="002A039D" w:rsidP="000C654A">
      <w:pPr>
        <w:pStyle w:val="FootnoteText"/>
      </w:pPr>
      <w:r w:rsidRPr="005745BE">
        <w:rPr>
          <w:rStyle w:val="FootnoteReference"/>
        </w:rPr>
        <w:footnoteRef/>
      </w:r>
      <w:r>
        <w:t xml:space="preserve"> This topic is more fully discussed in </w:t>
      </w:r>
      <w:hyperlink r:id="rId16" w:history="1">
        <w:r w:rsidRPr="001A44B3">
          <w:rPr>
            <w:rStyle w:val="Hyperlink"/>
            <w:i/>
          </w:rPr>
          <w:t>Nature of the Conse</w:t>
        </w:r>
        <w:r w:rsidRPr="001A44B3">
          <w:rPr>
            <w:rStyle w:val="Hyperlink"/>
            <w:i/>
          </w:rPr>
          <w:t>r</w:t>
        </w:r>
        <w:r w:rsidRPr="001A44B3">
          <w:rPr>
            <w:rStyle w:val="Hyperlink"/>
            <w:i/>
          </w:rPr>
          <w:t>vation Easement</w:t>
        </w:r>
      </w:hyperlink>
      <w:r>
        <w:t>.</w:t>
      </w:r>
    </w:p>
  </w:footnote>
  <w:footnote w:id="28">
    <w:p w14:paraId="2AD4C5B0" w14:textId="17B713AC" w:rsidR="002A039D" w:rsidRPr="005745BE" w:rsidRDefault="002A039D" w:rsidP="000C654A">
      <w:pPr>
        <w:pStyle w:val="FootnoteText"/>
      </w:pPr>
      <w:r w:rsidRPr="005745BE">
        <w:rPr>
          <w:rStyle w:val="FootnoteReference"/>
        </w:rPr>
        <w:footnoteRef/>
      </w:r>
      <w:r w:rsidRPr="005745BE">
        <w:t xml:space="preserve"> </w:t>
      </w:r>
      <w:r w:rsidRPr="005745BE">
        <w:rPr>
          <w:color w:val="000000"/>
        </w:rPr>
        <w:t xml:space="preserve">It is the well-settled law of the Commonwealth that the </w:t>
      </w:r>
      <w:r>
        <w:rPr>
          <w:color w:val="000000"/>
        </w:rPr>
        <w:t>Attorney General</w:t>
      </w:r>
      <w:r w:rsidRPr="005745BE">
        <w:rPr>
          <w:color w:val="000000"/>
        </w:rPr>
        <w:t xml:space="preserve"> is responsible for the public supervision of charities through his </w:t>
      </w:r>
      <w:proofErr w:type="spellStart"/>
      <w:r w:rsidRPr="005745BE">
        <w:rPr>
          <w:i/>
          <w:iCs/>
          <w:color w:val="000000"/>
        </w:rPr>
        <w:t>parens</w:t>
      </w:r>
      <w:proofErr w:type="spellEnd"/>
      <w:r w:rsidRPr="005745BE">
        <w:rPr>
          <w:i/>
          <w:iCs/>
          <w:color w:val="000000"/>
        </w:rPr>
        <w:t xml:space="preserve"> </w:t>
      </w:r>
      <w:proofErr w:type="spellStart"/>
      <w:r w:rsidRPr="005745BE">
        <w:rPr>
          <w:i/>
          <w:iCs/>
          <w:color w:val="000000"/>
        </w:rPr>
        <w:t>patriae</w:t>
      </w:r>
      <w:proofErr w:type="spellEnd"/>
      <w:r w:rsidRPr="005745BE">
        <w:rPr>
          <w:color w:val="000000"/>
        </w:rPr>
        <w:t xml:space="preserve"> powers. </w:t>
      </w:r>
      <w:proofErr w:type="gramStart"/>
      <w:r w:rsidRPr="00897402">
        <w:rPr>
          <w:i/>
          <w:color w:val="000000"/>
        </w:rPr>
        <w:t>In re Milton Hershey School Trust</w:t>
      </w:r>
      <w:r w:rsidRPr="005745BE">
        <w:rPr>
          <w:color w:val="000000"/>
        </w:rPr>
        <w:t>, 807 A.2d 324 (Pa.Cmwlth.2002); In re Estate of Coleman, 456 Pa. 163, 317 A.2d 631 (1974).</w:t>
      </w:r>
      <w:proofErr w:type="gramEnd"/>
      <w:r w:rsidRPr="005745BE">
        <w:rPr>
          <w:color w:val="000000"/>
        </w:rPr>
        <w:t xml:space="preserve"> The Commonwealth has </w:t>
      </w:r>
      <w:proofErr w:type="spellStart"/>
      <w:r w:rsidRPr="005745BE">
        <w:rPr>
          <w:i/>
          <w:iCs/>
          <w:color w:val="000000"/>
        </w:rPr>
        <w:t>parens</w:t>
      </w:r>
      <w:proofErr w:type="spellEnd"/>
      <w:r w:rsidRPr="005745BE">
        <w:rPr>
          <w:i/>
          <w:iCs/>
          <w:color w:val="000000"/>
        </w:rPr>
        <w:t xml:space="preserve"> </w:t>
      </w:r>
      <w:proofErr w:type="spellStart"/>
      <w:r w:rsidRPr="005745BE">
        <w:rPr>
          <w:i/>
          <w:iCs/>
          <w:color w:val="000000"/>
        </w:rPr>
        <w:t>patriae</w:t>
      </w:r>
      <w:proofErr w:type="spellEnd"/>
      <w:r w:rsidRPr="005745BE">
        <w:rPr>
          <w:color w:val="000000"/>
        </w:rPr>
        <w:t xml:space="preserve"> standing whenever it a</w:t>
      </w:r>
      <w:r w:rsidRPr="005745BE">
        <w:rPr>
          <w:color w:val="000000"/>
        </w:rPr>
        <w:t>s</w:t>
      </w:r>
      <w:r w:rsidRPr="005745BE">
        <w:rPr>
          <w:color w:val="000000"/>
        </w:rPr>
        <w:t xml:space="preserve">serts quasi-sovereign interests, which are interests that the Commonwealth has in the </w:t>
      </w:r>
      <w:proofErr w:type="gramStart"/>
      <w:r w:rsidRPr="005745BE">
        <w:rPr>
          <w:color w:val="000000"/>
        </w:rPr>
        <w:t>well-being</w:t>
      </w:r>
      <w:proofErr w:type="gramEnd"/>
      <w:r w:rsidRPr="005745BE">
        <w:rPr>
          <w:color w:val="000000"/>
        </w:rPr>
        <w:t xml:space="preserve"> of its populace. </w:t>
      </w:r>
      <w:proofErr w:type="gramStart"/>
      <w:r w:rsidRPr="005745BE">
        <w:rPr>
          <w:color w:val="000000"/>
        </w:rPr>
        <w:t>Commonwealth v. TAP Pharmaceutical Products, Inc., 885 A.2d 1127 (Pa.Cmwlth.2005).</w:t>
      </w:r>
      <w:proofErr w:type="gramEnd"/>
      <w:r w:rsidRPr="005745BE">
        <w:rPr>
          <w:color w:val="000000"/>
        </w:rPr>
        <w:t xml:space="preserve"> </w:t>
      </w:r>
      <w:r>
        <w:rPr>
          <w:color w:val="000000"/>
        </w:rPr>
        <w:t>“</w:t>
      </w:r>
      <w:r w:rsidRPr="005745BE">
        <w:rPr>
          <w:color w:val="000000"/>
        </w:rPr>
        <w:t>In every proceeding which affects a charitable trust, whether the action concerns inva</w:t>
      </w:r>
      <w:r w:rsidRPr="005745BE">
        <w:rPr>
          <w:color w:val="000000"/>
        </w:rPr>
        <w:t>l</w:t>
      </w:r>
      <w:r w:rsidRPr="005745BE">
        <w:rPr>
          <w:color w:val="000000"/>
        </w:rPr>
        <w:t xml:space="preserve">idation, administration, termination or enforcement, the </w:t>
      </w:r>
      <w:r>
        <w:rPr>
          <w:color w:val="000000"/>
        </w:rPr>
        <w:t>Attorney General</w:t>
      </w:r>
      <w:r w:rsidRPr="005745BE">
        <w:rPr>
          <w:color w:val="000000"/>
        </w:rPr>
        <w:t xml:space="preserve"> must be made a party of record because the public as the real party in interest in the trust is othe</w:t>
      </w:r>
      <w:r w:rsidRPr="005745BE">
        <w:rPr>
          <w:color w:val="000000"/>
        </w:rPr>
        <w:t>r</w:t>
      </w:r>
      <w:r w:rsidRPr="005745BE">
        <w:rPr>
          <w:color w:val="000000"/>
        </w:rPr>
        <w:t>wise not properly represented.</w:t>
      </w:r>
      <w:r>
        <w:rPr>
          <w:color w:val="000000"/>
        </w:rPr>
        <w:t>”</w:t>
      </w:r>
      <w:r w:rsidRPr="005745BE">
        <w:rPr>
          <w:color w:val="000000"/>
        </w:rPr>
        <w:t xml:space="preserve"> </w:t>
      </w:r>
      <w:proofErr w:type="gramStart"/>
      <w:r w:rsidRPr="00897402">
        <w:rPr>
          <w:i/>
          <w:color w:val="000000"/>
        </w:rPr>
        <w:t>In re Pruner’s Estate</w:t>
      </w:r>
      <w:r w:rsidRPr="005745BE">
        <w:rPr>
          <w:color w:val="000000"/>
        </w:rPr>
        <w:t>, 390 Pa. 529, 532-33, 136 A.2d 107, 110 (1957).</w:t>
      </w:r>
      <w:proofErr w:type="gramEnd"/>
      <w:r w:rsidRPr="005745BE">
        <w:rPr>
          <w:color w:val="000000"/>
        </w:rPr>
        <w:t xml:space="preserve"> It is the duty of the </w:t>
      </w:r>
      <w:r>
        <w:rPr>
          <w:color w:val="000000"/>
        </w:rPr>
        <w:t>Attorney General</w:t>
      </w:r>
      <w:r w:rsidRPr="005745BE">
        <w:rPr>
          <w:color w:val="000000"/>
        </w:rPr>
        <w:t xml:space="preserve"> to ensure that the purpose of the charity remains charitable. Consequently, the </w:t>
      </w:r>
      <w:r>
        <w:rPr>
          <w:color w:val="000000"/>
        </w:rPr>
        <w:t>Attorney General</w:t>
      </w:r>
      <w:r w:rsidRPr="005745BE">
        <w:rPr>
          <w:color w:val="000000"/>
        </w:rPr>
        <w:t xml:space="preserve"> always has standing in any case involving a charity. </w:t>
      </w:r>
      <w:r w:rsidRPr="00897402">
        <w:rPr>
          <w:iCs/>
          <w:color w:val="000000"/>
        </w:rPr>
        <w:t>See</w:t>
      </w:r>
      <w:r w:rsidRPr="00897402">
        <w:rPr>
          <w:color w:val="000000"/>
        </w:rPr>
        <w:t xml:space="preserve"> </w:t>
      </w:r>
      <w:r w:rsidRPr="00897402">
        <w:rPr>
          <w:i/>
          <w:color w:val="000000"/>
        </w:rPr>
        <w:t>In re Milton Hershey School</w:t>
      </w:r>
      <w:r w:rsidRPr="005745BE">
        <w:rPr>
          <w:color w:val="000000"/>
        </w:rPr>
        <w:t>, 867 A.2d 674, 685 (Pa.</w:t>
      </w:r>
      <w:r>
        <w:rPr>
          <w:color w:val="000000"/>
        </w:rPr>
        <w:t xml:space="preserve"> </w:t>
      </w:r>
      <w:proofErr w:type="spellStart"/>
      <w:r w:rsidRPr="005745BE">
        <w:rPr>
          <w:color w:val="000000"/>
        </w:rPr>
        <w:t>Cmwlth</w:t>
      </w:r>
      <w:proofErr w:type="spellEnd"/>
      <w:r w:rsidRPr="005745BE">
        <w:rPr>
          <w:color w:val="000000"/>
        </w:rPr>
        <w:t>.</w:t>
      </w:r>
      <w:r>
        <w:rPr>
          <w:color w:val="000000"/>
        </w:rPr>
        <w:t xml:space="preserve"> </w:t>
      </w:r>
      <w:r w:rsidRPr="005745BE">
        <w:rPr>
          <w:color w:val="000000"/>
        </w:rPr>
        <w:t>20</w:t>
      </w:r>
      <w:r>
        <w:rPr>
          <w:color w:val="000000"/>
        </w:rPr>
        <w:t xml:space="preserve">05) (reversed on other grounds. </w:t>
      </w:r>
      <w:r w:rsidRPr="005745BE">
        <w:rPr>
          <w:color w:val="000000"/>
        </w:rPr>
        <w:t xml:space="preserve">For more information, </w:t>
      </w:r>
      <w:r>
        <w:rPr>
          <w:color w:val="000000"/>
        </w:rPr>
        <w:t xml:space="preserve">see </w:t>
      </w:r>
      <w:hyperlink r:id="rId17" w:history="1">
        <w:proofErr w:type="gramStart"/>
        <w:r w:rsidRPr="008F558B">
          <w:rPr>
            <w:rStyle w:val="Hyperlink"/>
            <w:i/>
            <w:color w:val="003399"/>
          </w:rPr>
          <w:t>Who</w:t>
        </w:r>
        <w:proofErr w:type="gramEnd"/>
        <w:r w:rsidRPr="008F558B">
          <w:rPr>
            <w:rStyle w:val="Hyperlink"/>
            <w:i/>
            <w:color w:val="003399"/>
          </w:rPr>
          <w:t xml:space="preserve"> Has Standing?</w:t>
        </w:r>
      </w:hyperlink>
    </w:p>
  </w:footnote>
  <w:footnote w:id="29">
    <w:p w14:paraId="3FB0A982" w14:textId="7B3B46FB" w:rsidR="002A039D" w:rsidRDefault="002A039D" w:rsidP="000C654A">
      <w:pPr>
        <w:pStyle w:val="FootnoteText"/>
      </w:pPr>
      <w:r>
        <w:rPr>
          <w:rStyle w:val="FootnoteReference"/>
        </w:rPr>
        <w:footnoteRef/>
      </w:r>
      <w:r>
        <w:t xml:space="preserve"> See the guide </w:t>
      </w:r>
      <w:hyperlink r:id="rId18" w:history="1">
        <w:r w:rsidRPr="00897402">
          <w:rPr>
            <w:rStyle w:val="Hyperlink"/>
            <w:i/>
          </w:rPr>
          <w:t>Authorization of Real Estate Transactions</w:t>
        </w:r>
      </w:hyperlink>
      <w:r w:rsidRPr="00897402">
        <w:t>, pu</w:t>
      </w:r>
      <w:r w:rsidRPr="00897402">
        <w:t>b</w:t>
      </w:r>
      <w:r w:rsidRPr="00897402">
        <w:t xml:space="preserve">lished by the Pennsylvania Land Trust Association at </w:t>
      </w:r>
      <w:hyperlink r:id="rId19" w:history="1">
        <w:r w:rsidRPr="007B689B">
          <w:rPr>
            <w:rStyle w:val="Hyperlink"/>
          </w:rPr>
          <w:t>http://conservationtools.org/guides/show/103</w:t>
        </w:r>
      </w:hyperlink>
      <w:r>
        <w:t>, for an in-depth discussion of nonprofit rules and processes.</w:t>
      </w:r>
    </w:p>
  </w:footnote>
  <w:footnote w:id="30">
    <w:p w14:paraId="7763BF62" w14:textId="2C1EFB94" w:rsidR="002A039D" w:rsidRDefault="002A039D" w:rsidP="000C654A">
      <w:pPr>
        <w:pStyle w:val="FootnoteText"/>
      </w:pPr>
      <w:r>
        <w:rPr>
          <w:rStyle w:val="FootnoteReference"/>
        </w:rPr>
        <w:footnoteRef/>
      </w:r>
      <w:r>
        <w:t xml:space="preserve"> Hazen, Thomas Lee, </w:t>
      </w:r>
      <w:r>
        <w:rPr>
          <w:i/>
        </w:rPr>
        <w:t xml:space="preserve">Punctilios and Nonprofit Corporate Governance, </w:t>
      </w:r>
      <w:r>
        <w:t>U. of Pennsylvania Journal of Business Law, Vol. 14, No. 2 at p.375 (2012) (hereafter referred to as “H</w:t>
      </w:r>
      <w:r>
        <w:t>a</w:t>
      </w:r>
      <w:r>
        <w:t>zen”).</w:t>
      </w:r>
    </w:p>
  </w:footnote>
  <w:footnote w:id="31">
    <w:p w14:paraId="48B206AA" w14:textId="21B8A21F" w:rsidR="002A039D" w:rsidRDefault="002A039D" w:rsidP="000C654A">
      <w:pPr>
        <w:pStyle w:val="FootnoteText"/>
      </w:pPr>
      <w:r>
        <w:rPr>
          <w:rStyle w:val="FootnoteReference"/>
        </w:rPr>
        <w:footnoteRef/>
      </w:r>
      <w:r>
        <w:t xml:space="preserve"> ALI’s Principles of Nonprofit Law §365 quoted in Hazen, p. 379.</w:t>
      </w:r>
    </w:p>
  </w:footnote>
  <w:footnote w:id="32">
    <w:p w14:paraId="70B68F88" w14:textId="1757F5C2" w:rsidR="002A039D" w:rsidRDefault="002A039D" w:rsidP="000C654A">
      <w:pPr>
        <w:pStyle w:val="FootnoteText"/>
      </w:pPr>
      <w:r w:rsidRPr="005627AA">
        <w:rPr>
          <w:rStyle w:val="FootnoteReference"/>
        </w:rPr>
        <w:footnoteRef/>
      </w:r>
      <w:r w:rsidRPr="005627AA">
        <w:t xml:space="preserve"> </w:t>
      </w:r>
      <w:proofErr w:type="gramStart"/>
      <w:r w:rsidRPr="005627AA">
        <w:t>IRC § 170(h)(3) and Treas. Reg. § 1.170A-14(c).</w:t>
      </w:r>
      <w:proofErr w:type="gramEnd"/>
    </w:p>
  </w:footnote>
  <w:footnote w:id="33">
    <w:p w14:paraId="26AD4433" w14:textId="2B6F4EE4" w:rsidR="002A039D" w:rsidRDefault="002A039D" w:rsidP="000C654A">
      <w:pPr>
        <w:pStyle w:val="FootnoteText"/>
      </w:pPr>
      <w:r>
        <w:rPr>
          <w:rStyle w:val="FootnoteReference"/>
        </w:rPr>
        <w:footnoteRef/>
      </w:r>
      <w:r>
        <w:t xml:space="preserve"> The fact that a grant is amended means nothing by itself. A change to the text of the grant may strengthen the power of the holder to protect natural and scenic resources of the eased property and enhance the long-term viability of the easement. The change to the text may gut the enforceability of the easement or render it impossible to protect those co</w:t>
      </w:r>
      <w:r>
        <w:t>n</w:t>
      </w:r>
      <w:r>
        <w:t>servation values. Or it may not affect the easement at all. Holder’s policy and practices pertaining to amendments over time have some evidentiary value indicating its co</w:t>
      </w:r>
      <w:r>
        <w:t>m</w:t>
      </w:r>
      <w:r>
        <w:t>mitment to manage all of its easements, whether donated or not, responsibly with a goal of long-term viability.</w:t>
      </w:r>
    </w:p>
  </w:footnote>
  <w:footnote w:id="34">
    <w:p w14:paraId="601E32AA" w14:textId="32AA353B" w:rsidR="002A039D" w:rsidRDefault="002A039D" w:rsidP="000C654A">
      <w:pPr>
        <w:pStyle w:val="FootnoteText"/>
      </w:pPr>
      <w:r>
        <w:rPr>
          <w:rStyle w:val="FootnoteReference"/>
        </w:rPr>
        <w:footnoteRef/>
      </w:r>
      <w:r>
        <w:t xml:space="preserve"> See </w:t>
      </w:r>
      <w:hyperlink r:id="rId20" w:history="1">
        <w:r>
          <w:rPr>
            <w:rStyle w:val="Hyperlink"/>
            <w:i/>
          </w:rPr>
          <w:t>Holder</w:t>
        </w:r>
        <w:r w:rsidRPr="002D2C8E">
          <w:rPr>
            <w:rStyle w:val="Hyperlink"/>
            <w:i/>
          </w:rPr>
          <w:t>s, Beneficiaries and Backup Grantees</w:t>
        </w:r>
      </w:hyperlink>
      <w:r>
        <w:t xml:space="preserve"> for an in-depth discussion of agreements among holders, beneficia</w:t>
      </w:r>
      <w:r>
        <w:t>r</w:t>
      </w:r>
      <w:r>
        <w:t>ies and back-up grantees.</w:t>
      </w:r>
    </w:p>
  </w:footnote>
  <w:footnote w:id="35">
    <w:p w14:paraId="018A914F" w14:textId="48E42353" w:rsidR="002A039D" w:rsidRPr="005844B7" w:rsidRDefault="002A039D" w:rsidP="000C654A">
      <w:pPr>
        <w:pStyle w:val="FootnoteText"/>
      </w:pPr>
      <w:r>
        <w:rPr>
          <w:rStyle w:val="FootnoteReference"/>
        </w:rPr>
        <w:footnoteRef/>
      </w:r>
      <w:r>
        <w:t xml:space="preserve"> </w:t>
      </w:r>
      <w:r w:rsidRPr="00DE2F5D">
        <w:t>Would the Service revoke the tax-exempt status of a land trust that the record shows made a good faith effort to act responsibly, albeit not as the Service would prefer, in ma</w:t>
      </w:r>
      <w:r w:rsidRPr="00DE2F5D">
        <w:t>k</w:t>
      </w:r>
      <w:r w:rsidRPr="00DE2F5D">
        <w:t>ing an amendment decision? The level of risk is unknown. The published revocation examples demonstrate that rev</w:t>
      </w:r>
      <w:r w:rsidRPr="00DE2F5D">
        <w:t>o</w:t>
      </w:r>
      <w:r w:rsidRPr="00DE2F5D">
        <w:t xml:space="preserve">cation may occur with the most egregious compliance failures but they fail to instruct beyond that. For example, </w:t>
      </w:r>
      <w:r>
        <w:t>IRS Written Determination 201405018, released 1/31/2014, (</w:t>
      </w:r>
      <w:hyperlink r:id="rId21" w:history="1">
        <w:r w:rsidRPr="00E17010">
          <w:rPr>
            <w:rStyle w:val="Hyperlink"/>
          </w:rPr>
          <w:t>http://conservationtools.org/libraries/1/library_items/1353</w:t>
        </w:r>
      </w:hyperlink>
      <w:r>
        <w:t>) found an organization disqualified because it failed to show that it engaged in any qualified exempt activities. A single individual was the sole founder, sole chief executive, ope</w:t>
      </w:r>
      <w:r>
        <w:t>r</w:t>
      </w:r>
      <w:r>
        <w:t>ated the organization at his own discretion and prepared tax returns for donors. The letter ruling found that the o</w:t>
      </w:r>
      <w:r>
        <w:t>r</w:t>
      </w:r>
      <w:r>
        <w:t>ganization’s acceptance of donations of conservation easements failed to provide any public benefit.</w:t>
      </w:r>
    </w:p>
  </w:footnote>
  <w:footnote w:id="36">
    <w:p w14:paraId="3BF5263E" w14:textId="2E5316C9" w:rsidR="002A039D" w:rsidRDefault="002A039D" w:rsidP="000C654A">
      <w:pPr>
        <w:pStyle w:val="FootnoteText"/>
      </w:pPr>
      <w:r>
        <w:rPr>
          <w:rStyle w:val="FootnoteReference"/>
        </w:rPr>
        <w:footnoteRef/>
      </w:r>
      <w:r>
        <w:t xml:space="preserve"> </w:t>
      </w:r>
      <w:r>
        <w:rPr>
          <w:i/>
        </w:rPr>
        <w:t xml:space="preserve">Example (Private Inurement): </w:t>
      </w:r>
      <w:r>
        <w:t>A director urges support for an amendment that will permit additional residential d</w:t>
      </w:r>
      <w:r>
        <w:t>e</w:t>
      </w:r>
      <w:r>
        <w:t>velopment of the property. The director is an investor in a company that will benefit from the increase in development potential. The tax-exempt status of the holder may be jeo</w:t>
      </w:r>
      <w:r>
        <w:t>p</w:t>
      </w:r>
      <w:r>
        <w:t xml:space="preserve">ardized by the board’s action in accommodating a change benefitting an insider. A tax-exempt charitable organization is described as </w:t>
      </w:r>
      <w:proofErr w:type="gramStart"/>
      <w:r>
        <w:t>one which</w:t>
      </w:r>
      <w:proofErr w:type="gramEnd"/>
      <w:r>
        <w:t xml:space="preserve"> “no part of the net income of which inures to the benefit of any private shareholder or individual” (called the “private inurement rule”). </w:t>
      </w:r>
    </w:p>
  </w:footnote>
  <w:footnote w:id="37">
    <w:p w14:paraId="46C8E840" w14:textId="7811CA40" w:rsidR="002A039D" w:rsidRDefault="002A039D" w:rsidP="000C654A">
      <w:pPr>
        <w:pStyle w:val="FootnoteText"/>
      </w:pPr>
      <w:r>
        <w:rPr>
          <w:rStyle w:val="FootnoteReference"/>
        </w:rPr>
        <w:footnoteRef/>
      </w:r>
      <w:r>
        <w:rPr>
          <w:i/>
        </w:rPr>
        <w:t xml:space="preserve"> Example (Private Benefit):</w:t>
      </w:r>
      <w:r>
        <w:t xml:space="preserve"> Landowners (whether or not i</w:t>
      </w:r>
      <w:r>
        <w:t>n</w:t>
      </w:r>
      <w:r>
        <w:t>siders) request a change that may, or will, result in economic benefit to them. Further inquiry is needed to d</w:t>
      </w:r>
      <w:r>
        <w:t>e</w:t>
      </w:r>
      <w:r>
        <w:t xml:space="preserve">termine whether the tax-exempt status of the holder may be jeopardized by implementation of such an amendment. A charitable organization must not only be “organized and operated exclusively for religious, educational, or charitable purposes” but must continue to operate only for charitable purposes (and not private interests). This is referred to as the “private benefit rule.” </w:t>
      </w:r>
    </w:p>
  </w:footnote>
  <w:footnote w:id="38">
    <w:p w14:paraId="0CB04AB6" w14:textId="3CA454C1" w:rsidR="002A039D" w:rsidRDefault="002A039D" w:rsidP="000C654A">
      <w:pPr>
        <w:pStyle w:val="FootnoteText"/>
      </w:pPr>
      <w:r w:rsidRPr="005844B7">
        <w:rPr>
          <w:rStyle w:val="FootnoteReference"/>
        </w:rPr>
        <w:footnoteRef/>
      </w:r>
      <w:r w:rsidRPr="005844B7">
        <w:t xml:space="preserve"> </w:t>
      </w:r>
      <w:r>
        <w:rPr>
          <w:i/>
        </w:rPr>
        <w:t xml:space="preserve">See </w:t>
      </w:r>
      <w:r>
        <w:t>1990 Exempt Organization – Continuing Professional Education article published by the Service entitled “Part C. Overview of Inurement/Private Benefit Issues in IRC 501(c)(3)” (the “</w:t>
      </w:r>
      <w:hyperlink r:id="rId22" w:history="1">
        <w:r w:rsidRPr="00994F2F">
          <w:rPr>
            <w:rStyle w:val="Hyperlink"/>
          </w:rPr>
          <w:t>1990 Guide</w:t>
        </w:r>
      </w:hyperlink>
      <w:r>
        <w:t>”) (</w:t>
      </w:r>
      <w:hyperlink r:id="rId23" w:history="1">
        <w:r w:rsidRPr="00E17010">
          <w:rPr>
            <w:rStyle w:val="Hyperlink"/>
          </w:rPr>
          <w:t>http://conservationtools.org/libraries/1/library_items/1354</w:t>
        </w:r>
      </w:hyperlink>
      <w:r>
        <w:t>)</w:t>
      </w:r>
    </w:p>
    <w:p w14:paraId="2482A862" w14:textId="219EBDE6" w:rsidR="002A039D" w:rsidRPr="005844B7" w:rsidRDefault="002A039D" w:rsidP="000C654A">
      <w:pPr>
        <w:pStyle w:val="FootnoteText"/>
      </w:pPr>
      <w:proofErr w:type="gramStart"/>
      <w:r w:rsidRPr="005844B7">
        <w:t>and</w:t>
      </w:r>
      <w:proofErr w:type="gramEnd"/>
      <w:r w:rsidRPr="005844B7">
        <w:t xml:space="preserve"> </w:t>
      </w:r>
      <w:r>
        <w:t>2001 Exempt Organization – Continuing Professional Education article published by the Service entitled  “H. Pr</w:t>
      </w:r>
      <w:r>
        <w:t>i</w:t>
      </w:r>
      <w:r>
        <w:t>vate Benefit Under IRC 501(c)(3)” (</w:t>
      </w:r>
      <w:r w:rsidRPr="005844B7">
        <w:t xml:space="preserve">the </w:t>
      </w:r>
      <w:r>
        <w:t>“</w:t>
      </w:r>
      <w:hyperlink r:id="rId24" w:history="1">
        <w:r w:rsidRPr="005844B7">
          <w:rPr>
            <w:rStyle w:val="Hyperlink"/>
          </w:rPr>
          <w:t>2001 Guide</w:t>
        </w:r>
      </w:hyperlink>
      <w:r>
        <w:t>”) (</w:t>
      </w:r>
      <w:hyperlink r:id="rId25" w:history="1">
        <w:r w:rsidRPr="00E17010">
          <w:rPr>
            <w:rStyle w:val="Hyperlink"/>
          </w:rPr>
          <w:t>http://conservationtools.org/libraries/1/library_items/1355</w:t>
        </w:r>
      </w:hyperlink>
      <w:r>
        <w:t>).</w:t>
      </w:r>
    </w:p>
  </w:footnote>
  <w:footnote w:id="39">
    <w:p w14:paraId="438275DE" w14:textId="77777777" w:rsidR="002A039D" w:rsidRPr="005844B7" w:rsidRDefault="002A039D" w:rsidP="000C654A">
      <w:pPr>
        <w:pStyle w:val="FootnoteText"/>
      </w:pPr>
      <w:r w:rsidRPr="005844B7">
        <w:rPr>
          <w:rStyle w:val="FootnoteReference"/>
        </w:rPr>
        <w:footnoteRef/>
      </w:r>
      <w:r w:rsidRPr="005844B7">
        <w:t xml:space="preserve"> </w:t>
      </w:r>
      <w:proofErr w:type="gramStart"/>
      <w:r w:rsidRPr="005844B7">
        <w:t>Reg. 1.501(c)(3)-1(c)(2).</w:t>
      </w:r>
      <w:proofErr w:type="gramEnd"/>
    </w:p>
  </w:footnote>
  <w:footnote w:id="40">
    <w:p w14:paraId="7EF09D50" w14:textId="77777777" w:rsidR="002A039D" w:rsidRDefault="002A039D" w:rsidP="000C654A">
      <w:pPr>
        <w:pStyle w:val="FootnoteText"/>
      </w:pPr>
      <w:r>
        <w:rPr>
          <w:rStyle w:val="FootnoteReference"/>
        </w:rPr>
        <w:footnoteRef/>
      </w:r>
      <w:r>
        <w:t xml:space="preserve"> As discussed below, published guidance by the Service on the IRC charitable exemption rules sheds little light on how to apply it to amendment issues. Tests developed to eval</w:t>
      </w:r>
      <w:r>
        <w:t>u</w:t>
      </w:r>
      <w:r>
        <w:t>ate whether or not exchanges of goods and services for cash constitute private benefit may not apply to amendments of grants without an exchange of consideration or, if they do, it is difficult, if not impossible, to apply the test consistent with the purpose of the rule.</w:t>
      </w:r>
    </w:p>
  </w:footnote>
  <w:footnote w:id="41">
    <w:p w14:paraId="6FCFF3D4" w14:textId="03095DBA" w:rsidR="002A039D" w:rsidRDefault="002A039D" w:rsidP="000C654A">
      <w:pPr>
        <w:pStyle w:val="FootnoteText"/>
      </w:pPr>
      <w:r>
        <w:rPr>
          <w:rStyle w:val="FootnoteReference"/>
        </w:rPr>
        <w:footnoteRef/>
      </w:r>
      <w:r>
        <w:t xml:space="preserve"> The IRC also authorizes the Service to impose excise taxes on managers who allowed an improper benefit and the pe</w:t>
      </w:r>
      <w:r>
        <w:t>r</w:t>
      </w:r>
      <w:r>
        <w:t>sons who received the benefit. These sanctions, located in §4958 of the IRC (rather than the tax exemption standards contained in §501(c)(3)), may be imposed instead of or in addition to revocation of tax-exempt status.</w:t>
      </w:r>
    </w:p>
  </w:footnote>
  <w:footnote w:id="42">
    <w:p w14:paraId="2722B2D0" w14:textId="77777777" w:rsidR="002A039D" w:rsidRPr="005844B7" w:rsidRDefault="002A039D" w:rsidP="000C654A">
      <w:pPr>
        <w:pStyle w:val="FootnoteText"/>
      </w:pPr>
      <w:r w:rsidRPr="005844B7">
        <w:rPr>
          <w:rStyle w:val="FootnoteReference"/>
        </w:rPr>
        <w:footnoteRef/>
      </w:r>
      <w:r w:rsidRPr="005844B7">
        <w:t xml:space="preserve"> </w:t>
      </w:r>
      <w:proofErr w:type="gramStart"/>
      <w:r w:rsidRPr="005844B7">
        <w:t>§3.D. of the 1990 Guide.</w:t>
      </w:r>
      <w:proofErr w:type="gramEnd"/>
    </w:p>
  </w:footnote>
  <w:footnote w:id="43">
    <w:p w14:paraId="79328D88" w14:textId="698EF7A1" w:rsidR="002A039D" w:rsidRDefault="002A039D" w:rsidP="000C654A">
      <w:pPr>
        <w:pStyle w:val="FootnoteText"/>
      </w:pPr>
      <w:r>
        <w:rPr>
          <w:rStyle w:val="FootnoteReference"/>
        </w:rPr>
        <w:footnoteRef/>
      </w:r>
      <w:r>
        <w:t xml:space="preserve"> Example of non-inurement: An elderly director requests a change to the grant recorded in 1984 against his property. The problem is that the grant does not clearly define the conservation objectives and contains numerous inconsiste</w:t>
      </w:r>
      <w:r>
        <w:t>n</w:t>
      </w:r>
      <w:r>
        <w:t>cies between what is prohibited and what is not permitted. Before the property is transferred, either in his lifetime or upon his death, he wants to have the grant amended and restated using the Model Grant (the current form used by the holder for its easements) to assure that the conservation easement on his property will be strengthened and remain viable far into the future. An inquiry of the facts and ci</w:t>
      </w:r>
      <w:r>
        <w:t>r</w:t>
      </w:r>
      <w:r>
        <w:t>cumstances surrounding the proposed amendment does not indicate any economic benefit accruing to the director by implementation of the proposed amendment although it is possible that, under some set of hypothetical circumstances, the covenants in the amended grant may offer greater ec</w:t>
      </w:r>
      <w:r>
        <w:t>o</w:t>
      </w:r>
      <w:r>
        <w:t>nomic opportunity than covenants in the original grant.</w:t>
      </w:r>
    </w:p>
  </w:footnote>
  <w:footnote w:id="44">
    <w:p w14:paraId="236C8E8C" w14:textId="77777777" w:rsidR="002A039D" w:rsidRPr="005844B7" w:rsidRDefault="002A039D" w:rsidP="000C654A">
      <w:pPr>
        <w:pStyle w:val="FootnoteText"/>
      </w:pPr>
      <w:r w:rsidRPr="005844B7">
        <w:rPr>
          <w:rStyle w:val="FootnoteReference"/>
        </w:rPr>
        <w:footnoteRef/>
      </w:r>
      <w:r w:rsidRPr="005844B7">
        <w:t xml:space="preserve"> §3.A.1. </w:t>
      </w:r>
      <w:proofErr w:type="gramStart"/>
      <w:r w:rsidRPr="005844B7">
        <w:t>of</w:t>
      </w:r>
      <w:proofErr w:type="gramEnd"/>
      <w:r w:rsidRPr="005844B7">
        <w:t xml:space="preserve"> 1990 Guide.</w:t>
      </w:r>
    </w:p>
  </w:footnote>
  <w:footnote w:id="45">
    <w:p w14:paraId="16A55951" w14:textId="77777777" w:rsidR="002A039D" w:rsidRDefault="002A039D" w:rsidP="000C654A">
      <w:pPr>
        <w:pStyle w:val="FootnoteText"/>
      </w:pPr>
      <w:r>
        <w:rPr>
          <w:rStyle w:val="FootnoteReference"/>
        </w:rPr>
        <w:footnoteRef/>
      </w:r>
      <w:r>
        <w:t xml:space="preserve"> Example: A director requests a change that would release an acre of his property from the conservation easement to facilitate the development of his adjoining non-eased pro</w:t>
      </w:r>
      <w:r>
        <w:t>p</w:t>
      </w:r>
      <w:r>
        <w:t>erty. The change would result in economic benefit to the director. There is little or no evidence of any compelling justification for the amendment. An amendment such as this does not follow the policies and practices generally a</w:t>
      </w:r>
      <w:r>
        <w:t>c</w:t>
      </w:r>
      <w:r>
        <w:t>cepted by reputable conservation organizations; thus, it is likely that it will be denied the presumption that it is a fair exchange in the ordinary course.</w:t>
      </w:r>
    </w:p>
  </w:footnote>
  <w:footnote w:id="46">
    <w:p w14:paraId="606044B3" w14:textId="51ADF4C4" w:rsidR="002A039D" w:rsidRPr="005844B7" w:rsidRDefault="002A039D" w:rsidP="000C654A">
      <w:pPr>
        <w:pStyle w:val="FootnoteText"/>
      </w:pPr>
      <w:r w:rsidRPr="005844B7">
        <w:rPr>
          <w:rStyle w:val="FootnoteReference"/>
        </w:rPr>
        <w:footnoteRef/>
      </w:r>
      <w:r w:rsidRPr="005844B7">
        <w:t xml:space="preserve"> §3.A.1. </w:t>
      </w:r>
      <w:proofErr w:type="gramStart"/>
      <w:r w:rsidRPr="005844B7">
        <w:t>of</w:t>
      </w:r>
      <w:proofErr w:type="gramEnd"/>
      <w:r w:rsidRPr="005844B7">
        <w:t xml:space="preserve"> </w:t>
      </w:r>
      <w:r>
        <w:t xml:space="preserve">the </w:t>
      </w:r>
      <w:r w:rsidRPr="005844B7">
        <w:t>1990</w:t>
      </w:r>
      <w:r>
        <w:t xml:space="preserve"> </w:t>
      </w:r>
      <w:r w:rsidRPr="005844B7">
        <w:t>Guide.</w:t>
      </w:r>
    </w:p>
  </w:footnote>
  <w:footnote w:id="47">
    <w:p w14:paraId="683883C8" w14:textId="717E8809" w:rsidR="002A039D" w:rsidRPr="005844B7" w:rsidRDefault="002A039D" w:rsidP="000C654A">
      <w:pPr>
        <w:pStyle w:val="FootnoteText"/>
      </w:pPr>
      <w:r w:rsidRPr="005844B7">
        <w:rPr>
          <w:rStyle w:val="FootnoteReference"/>
        </w:rPr>
        <w:footnoteRef/>
      </w:r>
      <w:r w:rsidRPr="005844B7">
        <w:t xml:space="preserve"> </w:t>
      </w:r>
      <w:proofErr w:type="gramStart"/>
      <w:r w:rsidRPr="005844B7">
        <w:t xml:space="preserve">§3.B. of </w:t>
      </w:r>
      <w:r>
        <w:t xml:space="preserve">the </w:t>
      </w:r>
      <w:r w:rsidRPr="005844B7">
        <w:t>1990 Guide.</w:t>
      </w:r>
      <w:proofErr w:type="gramEnd"/>
    </w:p>
  </w:footnote>
  <w:footnote w:id="48">
    <w:p w14:paraId="5B247A0E" w14:textId="1E35C392" w:rsidR="002A039D" w:rsidRPr="005844B7" w:rsidRDefault="002A039D" w:rsidP="000C654A">
      <w:pPr>
        <w:pStyle w:val="FootnoteText"/>
      </w:pPr>
      <w:r w:rsidRPr="005844B7">
        <w:rPr>
          <w:rStyle w:val="FootnoteReference"/>
        </w:rPr>
        <w:footnoteRef/>
      </w:r>
      <w:r w:rsidRPr="005844B7">
        <w:t xml:space="preserve"> </w:t>
      </w:r>
      <w:proofErr w:type="gramStart"/>
      <w:r w:rsidRPr="005844B7">
        <w:t xml:space="preserve">§3.C. of </w:t>
      </w:r>
      <w:r>
        <w:t xml:space="preserve">the </w:t>
      </w:r>
      <w:r w:rsidRPr="005844B7">
        <w:t>1990 Guide.</w:t>
      </w:r>
      <w:proofErr w:type="gramEnd"/>
    </w:p>
  </w:footnote>
  <w:footnote w:id="49">
    <w:p w14:paraId="216B423B" w14:textId="3C6239A4" w:rsidR="002A039D" w:rsidRPr="005844B7" w:rsidRDefault="002A039D" w:rsidP="000C654A">
      <w:pPr>
        <w:pStyle w:val="FootnoteText"/>
      </w:pPr>
      <w:r w:rsidRPr="005745BE">
        <w:rPr>
          <w:rStyle w:val="FootnoteReference"/>
        </w:rPr>
        <w:footnoteRef/>
      </w:r>
      <w:r w:rsidRPr="005745BE">
        <w:t xml:space="preserve"> </w:t>
      </w:r>
      <w:r>
        <w:t xml:space="preserve">The charitable exemption rules </w:t>
      </w:r>
      <w:r w:rsidRPr="005745BE">
        <w:t>explicitly prohibit inur</w:t>
      </w:r>
      <w:r w:rsidRPr="005745BE">
        <w:t>e</w:t>
      </w:r>
      <w:r w:rsidRPr="005745BE">
        <w:t xml:space="preserve">ment, but do not mention </w:t>
      </w:r>
      <w:r>
        <w:t>“</w:t>
      </w:r>
      <w:r w:rsidRPr="005745BE">
        <w:t>private benefit.</w:t>
      </w:r>
      <w:r>
        <w:t>”</w:t>
      </w:r>
      <w:r w:rsidRPr="005745BE">
        <w:t xml:space="preserve"> However, the statute does provide that an entity be </w:t>
      </w:r>
      <w:r>
        <w:t>“</w:t>
      </w:r>
      <w:r w:rsidRPr="005745BE">
        <w:t>organized and ope</w:t>
      </w:r>
      <w:r w:rsidRPr="005745BE">
        <w:t>r</w:t>
      </w:r>
      <w:r w:rsidRPr="005745BE">
        <w:t>ated exclusively for religious, charitable, scientific</w:t>
      </w:r>
      <w:r>
        <w:t>”</w:t>
      </w:r>
      <w:r w:rsidRPr="005745BE">
        <w:t xml:space="preserve"> and other specified purposes. Reg. 1.501(c)(3)-1(c)(1) provides that an organization will be regarded as operated exclusiv</w:t>
      </w:r>
      <w:r w:rsidRPr="005745BE">
        <w:t>e</w:t>
      </w:r>
      <w:r w:rsidRPr="005745BE">
        <w:t xml:space="preserve">ly for exempt purposes only if it engages primarily in activities </w:t>
      </w:r>
      <w:r>
        <w:t>that</w:t>
      </w:r>
      <w:r w:rsidRPr="005745BE">
        <w:t xml:space="preserve"> accomplish one or more exempt purposes. An organization will not be so regarded if more than an insu</w:t>
      </w:r>
      <w:r w:rsidRPr="005745BE">
        <w:t>b</w:t>
      </w:r>
      <w:r w:rsidRPr="005745BE">
        <w:t>stantial part of its activities is not in furtherance of an exempt purpose. Reg. 1.501(c)(3)-1(d)(1)(ii) provides that an organization is not organized or operated exclusively for exempt purposes unless it serves a public rather than a pr</w:t>
      </w:r>
      <w:r w:rsidRPr="005745BE">
        <w:t>i</w:t>
      </w:r>
      <w:r w:rsidRPr="005745BE">
        <w:t xml:space="preserve">vate interest. Thus, even if an organization has many activities which further exempt purposes, exemption may be precluded if it serves a private interest. Applying the Supreme Court rationale in </w:t>
      </w:r>
      <w:r w:rsidRPr="00575DC9">
        <w:rPr>
          <w:i/>
        </w:rPr>
        <w:t>Better Business Bureau of Was</w:t>
      </w:r>
      <w:r w:rsidRPr="00575DC9">
        <w:rPr>
          <w:i/>
        </w:rPr>
        <w:t>h</w:t>
      </w:r>
      <w:r w:rsidRPr="00575DC9">
        <w:rPr>
          <w:i/>
        </w:rPr>
        <w:t>ington, D. C., Inc. v. United States</w:t>
      </w:r>
      <w:r w:rsidRPr="005745BE">
        <w:t>, 326 U.S. 279 (1945), the presence of private benefit, if substantial in nature, will d</w:t>
      </w:r>
      <w:r w:rsidRPr="005745BE">
        <w:t>e</w:t>
      </w:r>
      <w:r w:rsidRPr="005745BE">
        <w:t>stroy the exemption regardless of an organization</w:t>
      </w:r>
      <w:r>
        <w:t>’</w:t>
      </w:r>
      <w:r w:rsidRPr="005745BE">
        <w:t xml:space="preserve">s other charitable purposes or activities. </w:t>
      </w:r>
    </w:p>
  </w:footnote>
  <w:footnote w:id="50">
    <w:p w14:paraId="2AD88E6D" w14:textId="2DA36DA4" w:rsidR="002A039D" w:rsidRDefault="002A039D" w:rsidP="000C654A">
      <w:pPr>
        <w:pStyle w:val="FootnoteText"/>
      </w:pPr>
      <w:r>
        <w:rPr>
          <w:rStyle w:val="FootnoteReference"/>
        </w:rPr>
        <w:footnoteRef/>
      </w:r>
      <w:r>
        <w:t xml:space="preserve"> As applied to amendment issues, a holder who enters into an amendment to strengthen the conservation easement and further achievement of conservation objectives is, by definition, operating to advance its exempt purposes.</w:t>
      </w:r>
    </w:p>
  </w:footnote>
  <w:footnote w:id="51">
    <w:p w14:paraId="50DCBFE4" w14:textId="77777777" w:rsidR="002A039D" w:rsidRDefault="002A039D" w:rsidP="000C654A">
      <w:pPr>
        <w:pStyle w:val="FootnoteText"/>
      </w:pPr>
      <w:r>
        <w:rPr>
          <w:rStyle w:val="FootnoteReference"/>
        </w:rPr>
        <w:footnoteRef/>
      </w:r>
      <w:r>
        <w:t xml:space="preserve"> </w:t>
      </w:r>
      <w:proofErr w:type="gramStart"/>
      <w:r>
        <w:t>§4.A. of the 1990 Guide.</w:t>
      </w:r>
      <w:proofErr w:type="gramEnd"/>
    </w:p>
  </w:footnote>
  <w:footnote w:id="52">
    <w:p w14:paraId="3FBA74EE" w14:textId="01ED75BA" w:rsidR="002A039D" w:rsidRDefault="002A039D" w:rsidP="000C654A">
      <w:pPr>
        <w:pStyle w:val="FootnoteText"/>
      </w:pPr>
      <w:r>
        <w:rPr>
          <w:rStyle w:val="FootnoteReference"/>
        </w:rPr>
        <w:footnoteRef/>
      </w:r>
      <w:r>
        <w:t xml:space="preserve"> The IRC charitable gift rules use the diminution in value of land as a measure of the value of the easement for pu</w:t>
      </w:r>
      <w:r>
        <w:t>r</w:t>
      </w:r>
      <w:r>
        <w:t>poses of quantifying the charitable deduction allowed for the gift. That measure is also used to measure the minimum amount the holder is entitled to receive were the easement to be extinguished by eminent domain or a court order. In those instances, monetizing the value of a conservation easement is necessary. In the case of application of the pr</w:t>
      </w:r>
      <w:r>
        <w:t>i</w:t>
      </w:r>
      <w:r>
        <w:t>vate benefit rule, monetization of the value of a conservation easement is not only not unnecessary but e</w:t>
      </w:r>
      <w:r>
        <w:t>r</w:t>
      </w:r>
      <w:r>
        <w:t>roneously excludes the key component of the value of a conservation easement—its power to block land uses inco</w:t>
      </w:r>
      <w:r>
        <w:t>n</w:t>
      </w:r>
      <w:r>
        <w:t>sistent with conservation objectives. This topic is addressed in more detail below.</w:t>
      </w:r>
    </w:p>
  </w:footnote>
  <w:footnote w:id="53">
    <w:p w14:paraId="6F24A5E6" w14:textId="77777777" w:rsidR="002A039D" w:rsidRDefault="002A039D" w:rsidP="000C654A">
      <w:pPr>
        <w:pStyle w:val="FootnoteText"/>
      </w:pPr>
      <w:r>
        <w:rPr>
          <w:rStyle w:val="FootnoteReference"/>
        </w:rPr>
        <w:footnoteRef/>
      </w:r>
      <w:r>
        <w:t xml:space="preserve"> </w:t>
      </w:r>
      <w:proofErr w:type="gramStart"/>
      <w:r>
        <w:t>§4.A. of the 1990 Guide.</w:t>
      </w:r>
      <w:proofErr w:type="gramEnd"/>
    </w:p>
  </w:footnote>
  <w:footnote w:id="54">
    <w:p w14:paraId="6BFD67C8" w14:textId="77777777" w:rsidR="002A039D" w:rsidRDefault="002A039D" w:rsidP="000C654A">
      <w:pPr>
        <w:pStyle w:val="FootnoteText"/>
      </w:pPr>
      <w:r>
        <w:rPr>
          <w:rStyle w:val="FootnoteReference"/>
        </w:rPr>
        <w:footnoteRef/>
      </w:r>
      <w:r>
        <w:t xml:space="preserve"> </w:t>
      </w:r>
      <w:proofErr w:type="gramStart"/>
      <w:r>
        <w:t>§4.A. of the 1990 Guide.</w:t>
      </w:r>
      <w:proofErr w:type="gramEnd"/>
    </w:p>
  </w:footnote>
  <w:footnote w:id="55">
    <w:p w14:paraId="73834DFA" w14:textId="27440EB7" w:rsidR="002A039D" w:rsidRDefault="002A039D" w:rsidP="000C654A">
      <w:pPr>
        <w:pStyle w:val="FootnoteText"/>
      </w:pPr>
      <w:r>
        <w:rPr>
          <w:rStyle w:val="FootnoteReference"/>
        </w:rPr>
        <w:footnoteRef/>
      </w:r>
      <w:r>
        <w:t xml:space="preserve"> See the section “Strategies to Minimize Risk of Adverse Consequences to Holder of Amendment Decisions” later in this guide.</w:t>
      </w:r>
    </w:p>
  </w:footnote>
  <w:footnote w:id="56">
    <w:p w14:paraId="0F53666F" w14:textId="7F5F2AAB" w:rsidR="002A039D" w:rsidRDefault="002A039D" w:rsidP="000C654A">
      <w:pPr>
        <w:pStyle w:val="FootnoteText"/>
      </w:pPr>
      <w:r>
        <w:rPr>
          <w:rStyle w:val="FootnoteReference"/>
        </w:rPr>
        <w:footnoteRef/>
      </w:r>
      <w:r>
        <w:t xml:space="preserve"> </w:t>
      </w:r>
      <w:r w:rsidRPr="004855FD">
        <w:t>See</w:t>
      </w:r>
      <w:r>
        <w:rPr>
          <w:i/>
        </w:rPr>
        <w:t xml:space="preserve"> </w:t>
      </w:r>
      <w:hyperlink r:id="rId26" w:history="1">
        <w:r>
          <w:rPr>
            <w:rStyle w:val="Hyperlink"/>
          </w:rPr>
          <w:t>IRC</w:t>
        </w:r>
        <w:r w:rsidRPr="005961D0">
          <w:rPr>
            <w:rStyle w:val="Hyperlink"/>
          </w:rPr>
          <w:t xml:space="preserve"> §1.501(c)(3)-1(F)(2</w:t>
        </w:r>
      </w:hyperlink>
      <w:r>
        <w:t>).</w:t>
      </w:r>
    </w:p>
  </w:footnote>
  <w:footnote w:id="57">
    <w:p w14:paraId="0D8D787C" w14:textId="006F8780" w:rsidR="002A039D" w:rsidRDefault="002A039D" w:rsidP="000C654A">
      <w:pPr>
        <w:pStyle w:val="FootnoteText"/>
      </w:pPr>
      <w:r>
        <w:rPr>
          <w:rStyle w:val="FootnoteReference"/>
        </w:rPr>
        <w:footnoteRef/>
      </w:r>
      <w:r>
        <w:t xml:space="preserve"> </w:t>
      </w:r>
      <w:r w:rsidRPr="004855FD">
        <w:t>See</w:t>
      </w:r>
      <w:r>
        <w:rPr>
          <w:i/>
        </w:rPr>
        <w:t xml:space="preserve"> </w:t>
      </w:r>
      <w:r>
        <w:t>Section 4 of the1990 Guide and Section 1 of the 2001 Guide.</w:t>
      </w:r>
    </w:p>
  </w:footnote>
  <w:footnote w:id="58">
    <w:p w14:paraId="0753DD74" w14:textId="4C2586E7" w:rsidR="002A039D" w:rsidRDefault="002A039D" w:rsidP="000C654A">
      <w:pPr>
        <w:pStyle w:val="FootnoteText"/>
      </w:pPr>
      <w:r>
        <w:rPr>
          <w:rStyle w:val="FootnoteReference"/>
        </w:rPr>
        <w:footnoteRef/>
      </w:r>
      <w:r>
        <w:t xml:space="preserve"> </w:t>
      </w:r>
      <w:r w:rsidRPr="00DB56B5">
        <w:t>See Revenue Ruling 67-325, C.B. 1967-2, 113, which relates to an organization exempt und</w:t>
      </w:r>
      <w:r>
        <w:t>er section 501(c)(3) of the IRC</w:t>
      </w:r>
      <w:r w:rsidRPr="00DB56B5">
        <w:t xml:space="preserve"> providing recreational facilities to the residents of a tow</w:t>
      </w:r>
      <w:r w:rsidRPr="00DB56B5">
        <w:t>n</w:t>
      </w:r>
      <w:r w:rsidRPr="00DB56B5">
        <w:t>ship.</w:t>
      </w:r>
      <w:r w:rsidRPr="00DB56B5">
        <w:rPr>
          <w:rFonts w:ascii="Verdana" w:hAnsi="Verdana"/>
          <w:sz w:val="22"/>
          <w:szCs w:val="24"/>
        </w:rPr>
        <w:t xml:space="preserve"> </w:t>
      </w:r>
      <w:r w:rsidRPr="00DB56B5">
        <w:t>See Revenue Ruling 66-358, C.B. 1966-2, 218, which relates to an organization exempt und</w:t>
      </w:r>
      <w:r>
        <w:t>er section 501(c)(3) of the IRC</w:t>
      </w:r>
      <w:r w:rsidRPr="00DB56B5">
        <w:t xml:space="preserve"> operating and maintaining a public park with inc</w:t>
      </w:r>
      <w:r w:rsidRPr="00DB56B5">
        <w:t>i</w:t>
      </w:r>
      <w:r w:rsidRPr="00DB56B5">
        <w:t>dental private benefits.</w:t>
      </w:r>
      <w:r w:rsidRPr="00DB56B5">
        <w:rPr>
          <w:rFonts w:ascii="Verdana" w:hAnsi="Verdana"/>
          <w:sz w:val="22"/>
          <w:szCs w:val="24"/>
        </w:rPr>
        <w:t xml:space="preserve"> </w:t>
      </w:r>
      <w:r w:rsidRPr="00DB56B5">
        <w:t xml:space="preserve">See </w:t>
      </w:r>
      <w:r w:rsidRPr="0049794D">
        <w:rPr>
          <w:i/>
        </w:rPr>
        <w:t>Benedict Ginsberg and Adele W. Ginsberg v. Commissioner</w:t>
      </w:r>
      <w:r w:rsidRPr="00DB56B5">
        <w:t>, 46 T.C. 47 (1966)</w:t>
      </w:r>
      <w:r>
        <w:t>.</w:t>
      </w:r>
    </w:p>
  </w:footnote>
  <w:footnote w:id="59">
    <w:p w14:paraId="37636BA8" w14:textId="77777777" w:rsidR="002A039D" w:rsidRPr="0038241F" w:rsidRDefault="002A039D" w:rsidP="000C654A">
      <w:pPr>
        <w:pStyle w:val="FootnoteText"/>
      </w:pPr>
      <w:r>
        <w:rPr>
          <w:rStyle w:val="FootnoteReference"/>
        </w:rPr>
        <w:footnoteRef/>
      </w:r>
      <w:r>
        <w:t xml:space="preserve"> See </w:t>
      </w:r>
      <w:r>
        <w:rPr>
          <w:bCs/>
        </w:rPr>
        <w:t>Private Benefit, Inurement and Community Deterior</w:t>
      </w:r>
      <w:r>
        <w:rPr>
          <w:bCs/>
        </w:rPr>
        <w:t>a</w:t>
      </w:r>
      <w:r>
        <w:rPr>
          <w:bCs/>
        </w:rPr>
        <w:t xml:space="preserve">tion (1981 E.O. CPE text) available online </w:t>
      </w:r>
    </w:p>
    <w:p w14:paraId="7C25CE90" w14:textId="77777777" w:rsidR="002A039D" w:rsidRDefault="002A039D" w:rsidP="000C654A">
      <w:pPr>
        <w:pStyle w:val="FootnoteText"/>
      </w:pPr>
      <w:r w:rsidRPr="0038241F">
        <w:t>http://www.irs.gov/pub/irs-tege/eotopicf81.pdf</w:t>
      </w:r>
      <w:r>
        <w:t>.</w:t>
      </w:r>
    </w:p>
  </w:footnote>
  <w:footnote w:id="60">
    <w:p w14:paraId="517275E7" w14:textId="4196377A" w:rsidR="002A039D" w:rsidRDefault="002A039D" w:rsidP="000C654A">
      <w:pPr>
        <w:pStyle w:val="FootnoteText"/>
      </w:pPr>
      <w:r>
        <w:rPr>
          <w:rStyle w:val="FootnoteReference"/>
        </w:rPr>
        <w:footnoteRef/>
      </w:r>
      <w:r>
        <w:t xml:space="preserve"> The Merriam-Webster dictionary defines the word </w:t>
      </w:r>
      <w:r w:rsidRPr="00046629">
        <w:rPr>
          <w:i/>
        </w:rPr>
        <w:t>inc</w:t>
      </w:r>
      <w:r w:rsidRPr="00046629">
        <w:rPr>
          <w:i/>
        </w:rPr>
        <w:t>i</w:t>
      </w:r>
      <w:r w:rsidRPr="00046629">
        <w:rPr>
          <w:i/>
        </w:rPr>
        <w:t>dental</w:t>
      </w:r>
      <w:r>
        <w:t xml:space="preserve"> as “</w:t>
      </w:r>
      <w:r w:rsidRPr="00EA7247">
        <w:t>occurring merely by chance or without intention or calculation</w:t>
      </w:r>
      <w:r>
        <w:t>.”</w:t>
      </w:r>
    </w:p>
  </w:footnote>
  <w:footnote w:id="61">
    <w:p w14:paraId="2F22080B" w14:textId="77777777" w:rsidR="002A039D" w:rsidRDefault="002A039D" w:rsidP="000C654A">
      <w:pPr>
        <w:pStyle w:val="FootnoteText"/>
      </w:pPr>
      <w:r>
        <w:rPr>
          <w:rStyle w:val="FootnoteReference"/>
        </w:rPr>
        <w:footnoteRef/>
      </w:r>
      <w:r>
        <w:t xml:space="preserve"> See IRC §4958 and accompanying Regulation 53.4958-6 for a suggested application of this standard to adoption of a Proposed Amendment, see discussion of minutes in Part III.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F0CC7" w14:textId="7F3370E8" w:rsidR="002A039D" w:rsidRPr="00971933" w:rsidRDefault="002A039D" w:rsidP="00A667F6">
    <w:pPr>
      <w:pStyle w:val="Header"/>
    </w:pP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666093">
      <w:rPr>
        <w:rStyle w:val="PageNumber"/>
        <w:noProof/>
      </w:rPr>
      <w:t>2</w:t>
    </w:r>
    <w:r w:rsidRPr="00E73049">
      <w:rPr>
        <w:rStyle w:val="PageNumber"/>
      </w:rPr>
      <w:fldChar w:fldCharType="end"/>
    </w:r>
    <w:r>
      <w:rPr>
        <w:rStyle w:val="PageNumber"/>
      </w:rPr>
      <w:tab/>
    </w:r>
    <w:r>
      <w:t>Amending Grants of Conservation Easement: Legal Considerations for Land Trusts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8CDF2" w14:textId="6B244123" w:rsidR="002A039D" w:rsidRPr="00121AF6" w:rsidRDefault="002A039D" w:rsidP="00A667F6">
    <w:pPr>
      <w:pStyle w:val="Header"/>
      <w:jc w:val="center"/>
    </w:pPr>
    <w:r>
      <w:tab/>
    </w:r>
    <w:r w:rsidRPr="00121AF6">
      <w:t>Pennsylvania Land Trust Association</w:t>
    </w:r>
    <w:r w:rsidRPr="00A94518">
      <w:rPr>
        <w:noProof/>
      </w:rPr>
      <w:drawing>
        <wp:anchor distT="0" distB="0" distL="114300" distR="114300" simplePos="0" relativeHeight="251663360" behindDoc="0" locked="1" layoutInCell="1" allowOverlap="1" wp14:anchorId="73056158" wp14:editId="741D1CDF">
          <wp:simplePos x="0" y="0"/>
          <wp:positionH relativeFrom="page">
            <wp:posOffset>365760</wp:posOffset>
          </wp:positionH>
          <wp:positionV relativeFrom="page">
            <wp:posOffset>274320</wp:posOffset>
          </wp:positionV>
          <wp:extent cx="1057275" cy="410845"/>
          <wp:effectExtent l="0" t="0" r="9525" b="0"/>
          <wp:wrapSquare wrapText="left"/>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057275" cy="41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A94518">
      <w:rPr>
        <w:rStyle w:val="PageNumber"/>
      </w:rPr>
      <w:fldChar w:fldCharType="begin"/>
    </w:r>
    <w:r w:rsidRPr="00A94518">
      <w:rPr>
        <w:rStyle w:val="PageNumber"/>
      </w:rPr>
      <w:instrText xml:space="preserve"> PAGE </w:instrText>
    </w:r>
    <w:r w:rsidRPr="00A94518">
      <w:rPr>
        <w:rStyle w:val="PageNumber"/>
      </w:rPr>
      <w:fldChar w:fldCharType="separate"/>
    </w:r>
    <w:r w:rsidR="00666093">
      <w:rPr>
        <w:rStyle w:val="PageNumber"/>
        <w:noProof/>
      </w:rPr>
      <w:t>3</w:t>
    </w:r>
    <w:r w:rsidRPr="00A94518">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10EA5" w14:textId="28BAF625" w:rsidR="002A039D" w:rsidRDefault="002A039D" w:rsidP="00C2281E">
    <w:pPr>
      <w:pStyle w:val="Title"/>
    </w:pPr>
    <w:r>
      <w:rPr>
        <w:noProof/>
      </w:rPr>
      <w:drawing>
        <wp:anchor distT="0" distB="0" distL="114300" distR="114300" simplePos="0" relativeHeight="251656189" behindDoc="0" locked="0" layoutInCell="1" allowOverlap="1" wp14:anchorId="714E15A8" wp14:editId="2C48AB02">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t>Amending Grants of Conservation Easement</w:t>
    </w:r>
  </w:p>
  <w:p w14:paraId="2781A22A" w14:textId="3A8DDBEE" w:rsidR="002A039D" w:rsidRPr="000500DA" w:rsidRDefault="002A039D" w:rsidP="000500DA">
    <w:pPr>
      <w:pStyle w:val="Subtitle"/>
    </w:pPr>
    <w:r>
      <w:t>Legal Considerations for Land Trusts</w:t>
    </w:r>
  </w:p>
  <w:p w14:paraId="366A02D7" w14:textId="74E12A1E" w:rsidR="002A039D" w:rsidRPr="00AB337A" w:rsidRDefault="002A039D" w:rsidP="00C2281E">
    <w:pPr>
      <w:pStyle w:val="Blurb"/>
    </w:pPr>
    <w:r w:rsidRPr="00C2281E">
      <w:t xml:space="preserve">This guide informs easement </w:t>
    </w:r>
    <w:r>
      <w:t>holder</w:t>
    </w:r>
    <w:r w:rsidRPr="00C2281E">
      <w:t>s of legal matters to consider under Pennsylvania law and the Internal Revenue Code when making decisions regarding the amendment of grants of conservation easement.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D44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636F86E"/>
    <w:lvl w:ilvl="0">
      <w:start w:val="1"/>
      <w:numFmt w:val="decimal"/>
      <w:lvlText w:val="%1."/>
      <w:lvlJc w:val="left"/>
      <w:pPr>
        <w:tabs>
          <w:tab w:val="num" w:pos="1800"/>
        </w:tabs>
        <w:ind w:left="1800" w:hanging="360"/>
      </w:pPr>
    </w:lvl>
  </w:abstractNum>
  <w:abstractNum w:abstractNumId="2">
    <w:nsid w:val="FFFFFF7D"/>
    <w:multiLevelType w:val="singleLevel"/>
    <w:tmpl w:val="81F06C18"/>
    <w:lvl w:ilvl="0">
      <w:start w:val="1"/>
      <w:numFmt w:val="decimal"/>
      <w:lvlText w:val="%1."/>
      <w:lvlJc w:val="left"/>
      <w:pPr>
        <w:tabs>
          <w:tab w:val="num" w:pos="1440"/>
        </w:tabs>
        <w:ind w:left="1440" w:hanging="360"/>
      </w:pPr>
    </w:lvl>
  </w:abstractNum>
  <w:abstractNum w:abstractNumId="3">
    <w:nsid w:val="FFFFFF7E"/>
    <w:multiLevelType w:val="singleLevel"/>
    <w:tmpl w:val="11207712"/>
    <w:lvl w:ilvl="0">
      <w:start w:val="1"/>
      <w:numFmt w:val="decimal"/>
      <w:lvlText w:val="%1."/>
      <w:lvlJc w:val="left"/>
      <w:pPr>
        <w:tabs>
          <w:tab w:val="num" w:pos="1080"/>
        </w:tabs>
        <w:ind w:left="1080" w:hanging="360"/>
      </w:pPr>
    </w:lvl>
  </w:abstractNum>
  <w:abstractNum w:abstractNumId="4">
    <w:nsid w:val="FFFFFF7F"/>
    <w:multiLevelType w:val="singleLevel"/>
    <w:tmpl w:val="5E1E2478"/>
    <w:lvl w:ilvl="0">
      <w:start w:val="1"/>
      <w:numFmt w:val="decimal"/>
      <w:lvlText w:val="%1."/>
      <w:lvlJc w:val="left"/>
      <w:pPr>
        <w:tabs>
          <w:tab w:val="num" w:pos="720"/>
        </w:tabs>
        <w:ind w:left="720" w:hanging="360"/>
      </w:pPr>
    </w:lvl>
  </w:abstractNum>
  <w:abstractNum w:abstractNumId="5">
    <w:nsid w:val="FFFFFF80"/>
    <w:multiLevelType w:val="singleLevel"/>
    <w:tmpl w:val="B39E57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CC4F5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C2CA76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7F685F1C"/>
    <w:lvl w:ilvl="0">
      <w:start w:val="1"/>
      <w:numFmt w:val="decimal"/>
      <w:lvlText w:val="%1."/>
      <w:lvlJc w:val="left"/>
      <w:pPr>
        <w:tabs>
          <w:tab w:val="num" w:pos="360"/>
        </w:tabs>
        <w:ind w:left="360" w:hanging="360"/>
      </w:pPr>
    </w:lvl>
  </w:abstractNum>
  <w:abstractNum w:abstractNumId="10">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0D6B8D"/>
    <w:multiLevelType w:val="hybridMultilevel"/>
    <w:tmpl w:val="B8F89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9F0F2A"/>
    <w:multiLevelType w:val="hybridMultilevel"/>
    <w:tmpl w:val="F6D04004"/>
    <w:lvl w:ilvl="0" w:tplc="BC06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B01590"/>
    <w:multiLevelType w:val="hybridMultilevel"/>
    <w:tmpl w:val="F9D4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604738"/>
    <w:multiLevelType w:val="hybridMultilevel"/>
    <w:tmpl w:val="C86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A00BD6"/>
    <w:multiLevelType w:val="hybridMultilevel"/>
    <w:tmpl w:val="A072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A00425"/>
    <w:multiLevelType w:val="hybridMultilevel"/>
    <w:tmpl w:val="759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FE79EC"/>
    <w:multiLevelType w:val="hybridMultilevel"/>
    <w:tmpl w:val="0F046A72"/>
    <w:lvl w:ilvl="0" w:tplc="BF2EC5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780215"/>
    <w:multiLevelType w:val="hybridMultilevel"/>
    <w:tmpl w:val="3CF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6F1699"/>
    <w:multiLevelType w:val="hybridMultilevel"/>
    <w:tmpl w:val="582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BB0BC3"/>
    <w:multiLevelType w:val="hybridMultilevel"/>
    <w:tmpl w:val="B1D0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FF605D"/>
    <w:multiLevelType w:val="hybridMultilevel"/>
    <w:tmpl w:val="3D927AC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5727FF"/>
    <w:multiLevelType w:val="hybridMultilevel"/>
    <w:tmpl w:val="5A4A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AE05D8"/>
    <w:multiLevelType w:val="hybridMultilevel"/>
    <w:tmpl w:val="ADFC2B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FC18CE"/>
    <w:multiLevelType w:val="hybridMultilevel"/>
    <w:tmpl w:val="BD0C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A2F02"/>
    <w:multiLevelType w:val="hybridMultilevel"/>
    <w:tmpl w:val="19C86F22"/>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B7F0428"/>
    <w:multiLevelType w:val="hybridMultilevel"/>
    <w:tmpl w:val="1DE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997332"/>
    <w:multiLevelType w:val="hybridMultilevel"/>
    <w:tmpl w:val="0E90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6B1910"/>
    <w:multiLevelType w:val="hybridMultilevel"/>
    <w:tmpl w:val="73E80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8B74D9"/>
    <w:multiLevelType w:val="hybridMultilevel"/>
    <w:tmpl w:val="D368EB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54D23FA3"/>
    <w:multiLevelType w:val="hybridMultilevel"/>
    <w:tmpl w:val="5254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F6015D"/>
    <w:multiLevelType w:val="hybridMultilevel"/>
    <w:tmpl w:val="E6C6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C92834"/>
    <w:multiLevelType w:val="hybridMultilevel"/>
    <w:tmpl w:val="27B0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E97A65"/>
    <w:multiLevelType w:val="hybridMultilevel"/>
    <w:tmpl w:val="A1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020BF1"/>
    <w:multiLevelType w:val="hybridMultilevel"/>
    <w:tmpl w:val="A726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965E54"/>
    <w:multiLevelType w:val="hybridMultilevel"/>
    <w:tmpl w:val="F782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C81B5C"/>
    <w:multiLevelType w:val="hybridMultilevel"/>
    <w:tmpl w:val="9604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FC2D6F"/>
    <w:multiLevelType w:val="hybridMultilevel"/>
    <w:tmpl w:val="8A14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FA1FC7"/>
    <w:multiLevelType w:val="multilevel"/>
    <w:tmpl w:val="19C86F22"/>
    <w:lvl w:ilvl="0">
      <w:start w:val="1"/>
      <w:numFmt w:val="decimal"/>
      <w:lvlText w:val="%1."/>
      <w:lvlJc w:val="left"/>
      <w:pPr>
        <w:ind w:left="576" w:hanging="360"/>
      </w:pPr>
      <w:rPr>
        <w:rFonts w:hint="default"/>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41">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42">
    <w:nsid w:val="7B257D68"/>
    <w:multiLevelType w:val="hybridMultilevel"/>
    <w:tmpl w:val="8DC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D461BD"/>
    <w:multiLevelType w:val="hybridMultilevel"/>
    <w:tmpl w:val="9488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10"/>
  </w:num>
  <w:num w:numId="4">
    <w:abstractNumId w:val="10"/>
  </w:num>
  <w:num w:numId="5">
    <w:abstractNumId w:val="8"/>
  </w:num>
  <w:num w:numId="6">
    <w:abstractNumId w:val="8"/>
  </w:num>
  <w:num w:numId="7">
    <w:abstractNumId w:val="17"/>
  </w:num>
  <w:num w:numId="8">
    <w:abstractNumId w:val="19"/>
  </w:num>
  <w:num w:numId="9">
    <w:abstractNumId w:val="28"/>
  </w:num>
  <w:num w:numId="10">
    <w:abstractNumId w:val="34"/>
  </w:num>
  <w:num w:numId="11">
    <w:abstractNumId w:val="11"/>
  </w:num>
  <w:num w:numId="12">
    <w:abstractNumId w:val="29"/>
  </w:num>
  <w:num w:numId="13">
    <w:abstractNumId w:val="39"/>
  </w:num>
  <w:num w:numId="14">
    <w:abstractNumId w:val="25"/>
  </w:num>
  <w:num w:numId="15">
    <w:abstractNumId w:val="36"/>
  </w:num>
  <w:num w:numId="16">
    <w:abstractNumId w:val="15"/>
  </w:num>
  <w:num w:numId="17">
    <w:abstractNumId w:val="20"/>
  </w:num>
  <w:num w:numId="18">
    <w:abstractNumId w:val="16"/>
  </w:num>
  <w:num w:numId="19">
    <w:abstractNumId w:val="43"/>
  </w:num>
  <w:num w:numId="20">
    <w:abstractNumId w:val="35"/>
  </w:num>
  <w:num w:numId="21">
    <w:abstractNumId w:val="21"/>
  </w:num>
  <w:num w:numId="22">
    <w:abstractNumId w:val="12"/>
  </w:num>
  <w:num w:numId="23">
    <w:abstractNumId w:val="30"/>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0"/>
  </w:num>
  <w:num w:numId="33">
    <w:abstractNumId w:val="13"/>
  </w:num>
  <w:num w:numId="34">
    <w:abstractNumId w:val="14"/>
  </w:num>
  <w:num w:numId="35">
    <w:abstractNumId w:val="18"/>
  </w:num>
  <w:num w:numId="36">
    <w:abstractNumId w:val="37"/>
  </w:num>
  <w:num w:numId="37">
    <w:abstractNumId w:val="33"/>
  </w:num>
  <w:num w:numId="38">
    <w:abstractNumId w:val="38"/>
  </w:num>
  <w:num w:numId="39">
    <w:abstractNumId w:val="27"/>
  </w:num>
  <w:num w:numId="40">
    <w:abstractNumId w:val="32"/>
  </w:num>
  <w:num w:numId="41">
    <w:abstractNumId w:val="23"/>
  </w:num>
  <w:num w:numId="42">
    <w:abstractNumId w:val="22"/>
  </w:num>
  <w:num w:numId="43">
    <w:abstractNumId w:val="42"/>
  </w:num>
  <w:num w:numId="44">
    <w:abstractNumId w:val="31"/>
  </w:num>
  <w:num w:numId="45">
    <w:abstractNumId w:val="26"/>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autoHyphenation/>
  <w:consecutiveHyphenLimit w:val="1"/>
  <w:doNotHyphenateCaps/>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numFmt w:val="decimal"/>
    <w:endnote w:id="-1"/>
    <w:endnote w:id="0"/>
  </w:endnotePr>
  <w:compat>
    <w:suppressBottomSpacing/>
    <w:suppressTopSpacing/>
    <w:suppressSpBfAfterPgBrk/>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howStaticGuides" w:val="1"/>
  </w:docVars>
  <w:rsids>
    <w:rsidRoot w:val="00991AE0"/>
    <w:rsid w:val="0000548D"/>
    <w:rsid w:val="00037E9B"/>
    <w:rsid w:val="00040473"/>
    <w:rsid w:val="00046629"/>
    <w:rsid w:val="000500DA"/>
    <w:rsid w:val="00053144"/>
    <w:rsid w:val="000560E1"/>
    <w:rsid w:val="0007178A"/>
    <w:rsid w:val="00077A75"/>
    <w:rsid w:val="000805D4"/>
    <w:rsid w:val="000814AE"/>
    <w:rsid w:val="000849C4"/>
    <w:rsid w:val="00092672"/>
    <w:rsid w:val="00097E50"/>
    <w:rsid w:val="00097FB3"/>
    <w:rsid w:val="000A5E3C"/>
    <w:rsid w:val="000C0E40"/>
    <w:rsid w:val="000C654A"/>
    <w:rsid w:val="000C7395"/>
    <w:rsid w:val="000C7F9F"/>
    <w:rsid w:val="000D06C9"/>
    <w:rsid w:val="000D7D05"/>
    <w:rsid w:val="000F371F"/>
    <w:rsid w:val="000F381C"/>
    <w:rsid w:val="000F578F"/>
    <w:rsid w:val="00103D11"/>
    <w:rsid w:val="00107AAD"/>
    <w:rsid w:val="00113942"/>
    <w:rsid w:val="001166D4"/>
    <w:rsid w:val="00117467"/>
    <w:rsid w:val="00121AA7"/>
    <w:rsid w:val="00121AF6"/>
    <w:rsid w:val="00123D57"/>
    <w:rsid w:val="001242EA"/>
    <w:rsid w:val="001279D7"/>
    <w:rsid w:val="00131179"/>
    <w:rsid w:val="0014080C"/>
    <w:rsid w:val="00146C11"/>
    <w:rsid w:val="00147DE0"/>
    <w:rsid w:val="001517A5"/>
    <w:rsid w:val="00153F24"/>
    <w:rsid w:val="001642D4"/>
    <w:rsid w:val="00166C28"/>
    <w:rsid w:val="0017009A"/>
    <w:rsid w:val="00182E97"/>
    <w:rsid w:val="001877A2"/>
    <w:rsid w:val="0019023B"/>
    <w:rsid w:val="00191670"/>
    <w:rsid w:val="00195922"/>
    <w:rsid w:val="001A44B3"/>
    <w:rsid w:val="001B234C"/>
    <w:rsid w:val="001B3191"/>
    <w:rsid w:val="001B3266"/>
    <w:rsid w:val="001C1BC8"/>
    <w:rsid w:val="001C26DE"/>
    <w:rsid w:val="001E0847"/>
    <w:rsid w:val="001E0B59"/>
    <w:rsid w:val="001E16F4"/>
    <w:rsid w:val="001F3AEF"/>
    <w:rsid w:val="001F4223"/>
    <w:rsid w:val="001F44A6"/>
    <w:rsid w:val="001F61A1"/>
    <w:rsid w:val="00200BF8"/>
    <w:rsid w:val="00201CF8"/>
    <w:rsid w:val="00202826"/>
    <w:rsid w:val="00202F06"/>
    <w:rsid w:val="00205B38"/>
    <w:rsid w:val="00213BDE"/>
    <w:rsid w:val="00213E46"/>
    <w:rsid w:val="00216D7B"/>
    <w:rsid w:val="002224B5"/>
    <w:rsid w:val="00225B62"/>
    <w:rsid w:val="00226BE4"/>
    <w:rsid w:val="0023491D"/>
    <w:rsid w:val="00235D99"/>
    <w:rsid w:val="0024049E"/>
    <w:rsid w:val="00250010"/>
    <w:rsid w:val="002627BC"/>
    <w:rsid w:val="002644D4"/>
    <w:rsid w:val="002648EA"/>
    <w:rsid w:val="00272A21"/>
    <w:rsid w:val="00283A3E"/>
    <w:rsid w:val="00285AF2"/>
    <w:rsid w:val="002863C3"/>
    <w:rsid w:val="00286FCD"/>
    <w:rsid w:val="0029763B"/>
    <w:rsid w:val="002A039D"/>
    <w:rsid w:val="002A3EB1"/>
    <w:rsid w:val="002A4CF4"/>
    <w:rsid w:val="002A614F"/>
    <w:rsid w:val="002B0A81"/>
    <w:rsid w:val="002B24C6"/>
    <w:rsid w:val="002B7B6A"/>
    <w:rsid w:val="002C1671"/>
    <w:rsid w:val="002D3910"/>
    <w:rsid w:val="002F4CC1"/>
    <w:rsid w:val="002F76D8"/>
    <w:rsid w:val="003036D2"/>
    <w:rsid w:val="0030514A"/>
    <w:rsid w:val="00316EFD"/>
    <w:rsid w:val="00327FCD"/>
    <w:rsid w:val="00340540"/>
    <w:rsid w:val="00341672"/>
    <w:rsid w:val="00343E27"/>
    <w:rsid w:val="00345C9F"/>
    <w:rsid w:val="003538B6"/>
    <w:rsid w:val="00355D7E"/>
    <w:rsid w:val="00377254"/>
    <w:rsid w:val="00381B7B"/>
    <w:rsid w:val="003946D0"/>
    <w:rsid w:val="003A6500"/>
    <w:rsid w:val="003C4759"/>
    <w:rsid w:val="003D6817"/>
    <w:rsid w:val="003D6A77"/>
    <w:rsid w:val="003E401D"/>
    <w:rsid w:val="00401471"/>
    <w:rsid w:val="00421A32"/>
    <w:rsid w:val="00426198"/>
    <w:rsid w:val="00432E69"/>
    <w:rsid w:val="00450C67"/>
    <w:rsid w:val="00473B64"/>
    <w:rsid w:val="004831DE"/>
    <w:rsid w:val="00484FD1"/>
    <w:rsid w:val="004855FD"/>
    <w:rsid w:val="004917CD"/>
    <w:rsid w:val="0049418D"/>
    <w:rsid w:val="0049794D"/>
    <w:rsid w:val="004A0F63"/>
    <w:rsid w:val="004A4B30"/>
    <w:rsid w:val="004A6721"/>
    <w:rsid w:val="004B1647"/>
    <w:rsid w:val="004B1965"/>
    <w:rsid w:val="004B2776"/>
    <w:rsid w:val="004B44FB"/>
    <w:rsid w:val="004C18EF"/>
    <w:rsid w:val="004E0D4F"/>
    <w:rsid w:val="004E1771"/>
    <w:rsid w:val="004E2B43"/>
    <w:rsid w:val="004F126D"/>
    <w:rsid w:val="004F27D7"/>
    <w:rsid w:val="004F538F"/>
    <w:rsid w:val="0050031A"/>
    <w:rsid w:val="005022BE"/>
    <w:rsid w:val="00511F8A"/>
    <w:rsid w:val="005128EE"/>
    <w:rsid w:val="00512BD7"/>
    <w:rsid w:val="0051343A"/>
    <w:rsid w:val="00524B1F"/>
    <w:rsid w:val="0053096E"/>
    <w:rsid w:val="0054016C"/>
    <w:rsid w:val="00541585"/>
    <w:rsid w:val="00542B94"/>
    <w:rsid w:val="005436FD"/>
    <w:rsid w:val="00543E62"/>
    <w:rsid w:val="0055625C"/>
    <w:rsid w:val="00557185"/>
    <w:rsid w:val="005609EA"/>
    <w:rsid w:val="00560FB8"/>
    <w:rsid w:val="0056112C"/>
    <w:rsid w:val="00566AD8"/>
    <w:rsid w:val="00572AF5"/>
    <w:rsid w:val="005756D3"/>
    <w:rsid w:val="0057571D"/>
    <w:rsid w:val="00575DC9"/>
    <w:rsid w:val="00577963"/>
    <w:rsid w:val="00581419"/>
    <w:rsid w:val="00582FF3"/>
    <w:rsid w:val="005907F8"/>
    <w:rsid w:val="00594605"/>
    <w:rsid w:val="00595CE7"/>
    <w:rsid w:val="005A3979"/>
    <w:rsid w:val="005A5A7E"/>
    <w:rsid w:val="005B49F9"/>
    <w:rsid w:val="005C6007"/>
    <w:rsid w:val="005D2FF6"/>
    <w:rsid w:val="005D3C1D"/>
    <w:rsid w:val="005D3FB7"/>
    <w:rsid w:val="005D4D42"/>
    <w:rsid w:val="005E1FB4"/>
    <w:rsid w:val="005E23A0"/>
    <w:rsid w:val="005E23C4"/>
    <w:rsid w:val="005E62FA"/>
    <w:rsid w:val="005F6375"/>
    <w:rsid w:val="006040D4"/>
    <w:rsid w:val="00604D0E"/>
    <w:rsid w:val="00620184"/>
    <w:rsid w:val="00620349"/>
    <w:rsid w:val="00626B0E"/>
    <w:rsid w:val="00645F87"/>
    <w:rsid w:val="00665043"/>
    <w:rsid w:val="00665C1F"/>
    <w:rsid w:val="00666093"/>
    <w:rsid w:val="00667450"/>
    <w:rsid w:val="00667A65"/>
    <w:rsid w:val="006708B5"/>
    <w:rsid w:val="0067249C"/>
    <w:rsid w:val="00672C6C"/>
    <w:rsid w:val="006845B1"/>
    <w:rsid w:val="0069301B"/>
    <w:rsid w:val="00696825"/>
    <w:rsid w:val="006A3966"/>
    <w:rsid w:val="006A50E7"/>
    <w:rsid w:val="006B04B3"/>
    <w:rsid w:val="006D46C4"/>
    <w:rsid w:val="006E47C8"/>
    <w:rsid w:val="006E542F"/>
    <w:rsid w:val="006F00B4"/>
    <w:rsid w:val="007037B9"/>
    <w:rsid w:val="00704FC1"/>
    <w:rsid w:val="00710F17"/>
    <w:rsid w:val="00712962"/>
    <w:rsid w:val="0072069D"/>
    <w:rsid w:val="0073088A"/>
    <w:rsid w:val="00741D5C"/>
    <w:rsid w:val="00744A82"/>
    <w:rsid w:val="0075129D"/>
    <w:rsid w:val="007532C4"/>
    <w:rsid w:val="00755C22"/>
    <w:rsid w:val="0075733A"/>
    <w:rsid w:val="00761594"/>
    <w:rsid w:val="00767F38"/>
    <w:rsid w:val="007B4663"/>
    <w:rsid w:val="007B4816"/>
    <w:rsid w:val="007C1651"/>
    <w:rsid w:val="007D4F03"/>
    <w:rsid w:val="007D794C"/>
    <w:rsid w:val="007F069C"/>
    <w:rsid w:val="008065D8"/>
    <w:rsid w:val="008136DA"/>
    <w:rsid w:val="00816EF2"/>
    <w:rsid w:val="00822E3E"/>
    <w:rsid w:val="00836874"/>
    <w:rsid w:val="008375DF"/>
    <w:rsid w:val="008414CF"/>
    <w:rsid w:val="00845651"/>
    <w:rsid w:val="00850106"/>
    <w:rsid w:val="008558BD"/>
    <w:rsid w:val="00863A57"/>
    <w:rsid w:val="0086449F"/>
    <w:rsid w:val="00864AEB"/>
    <w:rsid w:val="00866E6B"/>
    <w:rsid w:val="00873369"/>
    <w:rsid w:val="00873D1E"/>
    <w:rsid w:val="0087496E"/>
    <w:rsid w:val="008757F5"/>
    <w:rsid w:val="0088065F"/>
    <w:rsid w:val="00882E68"/>
    <w:rsid w:val="008842B0"/>
    <w:rsid w:val="00884C50"/>
    <w:rsid w:val="00892716"/>
    <w:rsid w:val="008955FD"/>
    <w:rsid w:val="00897402"/>
    <w:rsid w:val="008A5EEF"/>
    <w:rsid w:val="008A658F"/>
    <w:rsid w:val="008B5657"/>
    <w:rsid w:val="008C3DBB"/>
    <w:rsid w:val="008C7B00"/>
    <w:rsid w:val="008D4350"/>
    <w:rsid w:val="008E5964"/>
    <w:rsid w:val="008E64D1"/>
    <w:rsid w:val="008F12E5"/>
    <w:rsid w:val="00915F77"/>
    <w:rsid w:val="00931B67"/>
    <w:rsid w:val="0094161E"/>
    <w:rsid w:val="00950469"/>
    <w:rsid w:val="00951FFE"/>
    <w:rsid w:val="0095680D"/>
    <w:rsid w:val="0095696D"/>
    <w:rsid w:val="009647AB"/>
    <w:rsid w:val="00971933"/>
    <w:rsid w:val="00972327"/>
    <w:rsid w:val="00981A24"/>
    <w:rsid w:val="00982ED1"/>
    <w:rsid w:val="0098302C"/>
    <w:rsid w:val="00984828"/>
    <w:rsid w:val="0099145D"/>
    <w:rsid w:val="00991AE0"/>
    <w:rsid w:val="00992323"/>
    <w:rsid w:val="0099471C"/>
    <w:rsid w:val="009A388B"/>
    <w:rsid w:val="009B5E57"/>
    <w:rsid w:val="009B7048"/>
    <w:rsid w:val="009C03CE"/>
    <w:rsid w:val="009C1A41"/>
    <w:rsid w:val="009C61F6"/>
    <w:rsid w:val="009D1197"/>
    <w:rsid w:val="009E4039"/>
    <w:rsid w:val="009E6114"/>
    <w:rsid w:val="009E71B5"/>
    <w:rsid w:val="009E7C8A"/>
    <w:rsid w:val="009F164D"/>
    <w:rsid w:val="009F356F"/>
    <w:rsid w:val="009F6219"/>
    <w:rsid w:val="00A01A00"/>
    <w:rsid w:val="00A03C26"/>
    <w:rsid w:val="00A04DEA"/>
    <w:rsid w:val="00A05C28"/>
    <w:rsid w:val="00A06E20"/>
    <w:rsid w:val="00A125E9"/>
    <w:rsid w:val="00A14244"/>
    <w:rsid w:val="00A214FA"/>
    <w:rsid w:val="00A23D5E"/>
    <w:rsid w:val="00A307DB"/>
    <w:rsid w:val="00A30FFE"/>
    <w:rsid w:val="00A32636"/>
    <w:rsid w:val="00A342A7"/>
    <w:rsid w:val="00A34618"/>
    <w:rsid w:val="00A37DAB"/>
    <w:rsid w:val="00A41BBA"/>
    <w:rsid w:val="00A433A1"/>
    <w:rsid w:val="00A457E8"/>
    <w:rsid w:val="00A46B39"/>
    <w:rsid w:val="00A47A90"/>
    <w:rsid w:val="00A57073"/>
    <w:rsid w:val="00A667F6"/>
    <w:rsid w:val="00A707E6"/>
    <w:rsid w:val="00A72A8B"/>
    <w:rsid w:val="00A76FE3"/>
    <w:rsid w:val="00A81C7F"/>
    <w:rsid w:val="00A82ADC"/>
    <w:rsid w:val="00A8411C"/>
    <w:rsid w:val="00A8500F"/>
    <w:rsid w:val="00A86742"/>
    <w:rsid w:val="00A91EB7"/>
    <w:rsid w:val="00A94518"/>
    <w:rsid w:val="00AA5E93"/>
    <w:rsid w:val="00AB0FCF"/>
    <w:rsid w:val="00AB337A"/>
    <w:rsid w:val="00AB3F75"/>
    <w:rsid w:val="00AC5636"/>
    <w:rsid w:val="00AD330E"/>
    <w:rsid w:val="00AD625F"/>
    <w:rsid w:val="00AE63D3"/>
    <w:rsid w:val="00AF4A93"/>
    <w:rsid w:val="00B000AE"/>
    <w:rsid w:val="00B068A3"/>
    <w:rsid w:val="00B070F4"/>
    <w:rsid w:val="00B22288"/>
    <w:rsid w:val="00B25320"/>
    <w:rsid w:val="00B272DC"/>
    <w:rsid w:val="00B30DBA"/>
    <w:rsid w:val="00B36E6A"/>
    <w:rsid w:val="00B41809"/>
    <w:rsid w:val="00B41A04"/>
    <w:rsid w:val="00B60603"/>
    <w:rsid w:val="00B74322"/>
    <w:rsid w:val="00B75A7C"/>
    <w:rsid w:val="00B769B1"/>
    <w:rsid w:val="00B8246E"/>
    <w:rsid w:val="00B8360F"/>
    <w:rsid w:val="00B97E4D"/>
    <w:rsid w:val="00BA1424"/>
    <w:rsid w:val="00BB227A"/>
    <w:rsid w:val="00BC1B09"/>
    <w:rsid w:val="00BC2470"/>
    <w:rsid w:val="00BC48E4"/>
    <w:rsid w:val="00BD190A"/>
    <w:rsid w:val="00BE29AE"/>
    <w:rsid w:val="00BE46F0"/>
    <w:rsid w:val="00BE5B08"/>
    <w:rsid w:val="00BF4D89"/>
    <w:rsid w:val="00C00221"/>
    <w:rsid w:val="00C036C6"/>
    <w:rsid w:val="00C04899"/>
    <w:rsid w:val="00C07917"/>
    <w:rsid w:val="00C174BB"/>
    <w:rsid w:val="00C22192"/>
    <w:rsid w:val="00C2281E"/>
    <w:rsid w:val="00C37718"/>
    <w:rsid w:val="00C40E3B"/>
    <w:rsid w:val="00C41404"/>
    <w:rsid w:val="00C42FB8"/>
    <w:rsid w:val="00C545C1"/>
    <w:rsid w:val="00C546B8"/>
    <w:rsid w:val="00C54996"/>
    <w:rsid w:val="00C54C68"/>
    <w:rsid w:val="00C55908"/>
    <w:rsid w:val="00C57DCE"/>
    <w:rsid w:val="00C65EA1"/>
    <w:rsid w:val="00C71BC0"/>
    <w:rsid w:val="00C747AB"/>
    <w:rsid w:val="00C9039E"/>
    <w:rsid w:val="00C96F79"/>
    <w:rsid w:val="00CA1337"/>
    <w:rsid w:val="00CA5943"/>
    <w:rsid w:val="00CB40C0"/>
    <w:rsid w:val="00CC0B34"/>
    <w:rsid w:val="00CC2CBF"/>
    <w:rsid w:val="00CC4D83"/>
    <w:rsid w:val="00CD2793"/>
    <w:rsid w:val="00CD5D05"/>
    <w:rsid w:val="00CE1BAD"/>
    <w:rsid w:val="00CE6AAD"/>
    <w:rsid w:val="00CF2BD4"/>
    <w:rsid w:val="00D043F4"/>
    <w:rsid w:val="00D16BA1"/>
    <w:rsid w:val="00D25EBE"/>
    <w:rsid w:val="00D332B3"/>
    <w:rsid w:val="00D423F8"/>
    <w:rsid w:val="00D6657F"/>
    <w:rsid w:val="00D6661F"/>
    <w:rsid w:val="00D70EF0"/>
    <w:rsid w:val="00D7743D"/>
    <w:rsid w:val="00D77B87"/>
    <w:rsid w:val="00D8252B"/>
    <w:rsid w:val="00D84962"/>
    <w:rsid w:val="00D93F57"/>
    <w:rsid w:val="00D94B5A"/>
    <w:rsid w:val="00D95C8C"/>
    <w:rsid w:val="00DB17EF"/>
    <w:rsid w:val="00DB4B68"/>
    <w:rsid w:val="00DB5805"/>
    <w:rsid w:val="00DB5FF2"/>
    <w:rsid w:val="00DC5A63"/>
    <w:rsid w:val="00DD1451"/>
    <w:rsid w:val="00DD68E3"/>
    <w:rsid w:val="00DE0B4F"/>
    <w:rsid w:val="00DE1C21"/>
    <w:rsid w:val="00DE2F5D"/>
    <w:rsid w:val="00DE62E6"/>
    <w:rsid w:val="00DF2ACB"/>
    <w:rsid w:val="00DF534A"/>
    <w:rsid w:val="00E06DCD"/>
    <w:rsid w:val="00E374A3"/>
    <w:rsid w:val="00E37697"/>
    <w:rsid w:val="00E41357"/>
    <w:rsid w:val="00E4513A"/>
    <w:rsid w:val="00E50F54"/>
    <w:rsid w:val="00E54839"/>
    <w:rsid w:val="00E57ADC"/>
    <w:rsid w:val="00E6560A"/>
    <w:rsid w:val="00E65B55"/>
    <w:rsid w:val="00E73049"/>
    <w:rsid w:val="00E73193"/>
    <w:rsid w:val="00E74C0F"/>
    <w:rsid w:val="00E81F18"/>
    <w:rsid w:val="00E841C3"/>
    <w:rsid w:val="00E96BD2"/>
    <w:rsid w:val="00EA05C3"/>
    <w:rsid w:val="00EA0E0C"/>
    <w:rsid w:val="00EA45C8"/>
    <w:rsid w:val="00EA6C05"/>
    <w:rsid w:val="00EB4FBB"/>
    <w:rsid w:val="00EB5181"/>
    <w:rsid w:val="00EC5EB1"/>
    <w:rsid w:val="00EC636D"/>
    <w:rsid w:val="00EC7481"/>
    <w:rsid w:val="00ED028B"/>
    <w:rsid w:val="00ED649A"/>
    <w:rsid w:val="00ED7629"/>
    <w:rsid w:val="00EE1DFD"/>
    <w:rsid w:val="00F1181A"/>
    <w:rsid w:val="00F21569"/>
    <w:rsid w:val="00F2337D"/>
    <w:rsid w:val="00F24B0F"/>
    <w:rsid w:val="00F34DC1"/>
    <w:rsid w:val="00F36CBA"/>
    <w:rsid w:val="00F5159A"/>
    <w:rsid w:val="00F5529F"/>
    <w:rsid w:val="00F64A0F"/>
    <w:rsid w:val="00F71F68"/>
    <w:rsid w:val="00F8284D"/>
    <w:rsid w:val="00FA5F53"/>
    <w:rsid w:val="00FA7C4F"/>
    <w:rsid w:val="00FB2D5F"/>
    <w:rsid w:val="00FC3A82"/>
    <w:rsid w:val="00FC794A"/>
    <w:rsid w:val="00FD47F9"/>
    <w:rsid w:val="00FE15AC"/>
    <w:rsid w:val="00FE7AB0"/>
    <w:rsid w:val="00FE7B98"/>
    <w:rsid w:val="00FF1D1C"/>
    <w:rsid w:val="00FF3009"/>
    <w:rsid w:val="00FF47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AD1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AE"/>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4016C"/>
    <w:pPr>
      <w:keepNext/>
      <w:pBdr>
        <w:bottom w:val="single" w:sz="4" w:space="1" w:color="auto"/>
      </w:pBdr>
      <w:suppressAutoHyphens/>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5907F8"/>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4016C"/>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5907F8"/>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iPriority w:val="99"/>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uiPriority w:val="99"/>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C41404"/>
    <w:pPr>
      <w:tabs>
        <w:tab w:val="right" w:pos="8730"/>
      </w:tabs>
    </w:pPr>
    <w:rPr>
      <w:b/>
      <w:noProof/>
      <w:szCs w:val="22"/>
    </w:rPr>
  </w:style>
  <w:style w:type="paragraph" w:styleId="TOC2">
    <w:name w:val="toc 2"/>
    <w:basedOn w:val="Normal"/>
    <w:next w:val="Normal"/>
    <w:autoRedefine/>
    <w:uiPriority w:val="39"/>
    <w:rsid w:val="00BE29AE"/>
    <w:pPr>
      <w:tabs>
        <w:tab w:val="right" w:leader="dot" w:pos="7830"/>
      </w:tabs>
      <w:ind w:left="216"/>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A667F6"/>
    <w:pPr>
      <w:tabs>
        <w:tab w:val="center" w:pos="5472"/>
        <w:tab w:val="right" w:pos="11074"/>
      </w:tabs>
    </w:pPr>
    <w:rPr>
      <w:sz w:val="19"/>
      <w:szCs w:val="20"/>
    </w:rPr>
  </w:style>
  <w:style w:type="character" w:customStyle="1" w:styleId="HeaderChar">
    <w:name w:val="Header Char"/>
    <w:basedOn w:val="DefaultParagraphFont"/>
    <w:link w:val="Header"/>
    <w:uiPriority w:val="99"/>
    <w:rsid w:val="00A667F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A667F6"/>
    <w:pPr>
      <w:tabs>
        <w:tab w:val="center" w:pos="4680"/>
        <w:tab w:val="right" w:pos="10980"/>
      </w:tabs>
    </w:pPr>
    <w:rPr>
      <w:sz w:val="16"/>
      <w:szCs w:val="20"/>
    </w:rPr>
  </w:style>
  <w:style w:type="character" w:customStyle="1" w:styleId="FooterChar">
    <w:name w:val="Footer Char"/>
    <w:basedOn w:val="DefaultParagraphFont"/>
    <w:link w:val="Footer"/>
    <w:rsid w:val="00A667F6"/>
    <w:rPr>
      <w:rFonts w:ascii="Palatino Linotype" w:eastAsia="Times New Roman" w:hAnsi="Palatino Linotype" w:cs="Times New Roman"/>
      <w:sz w:val="16"/>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rsid w:val="00147DE0"/>
    <w:pPr>
      <w:ind w:left="216" w:right="216"/>
    </w:pPr>
  </w:style>
  <w:style w:type="paragraph" w:customStyle="1" w:styleId="BodyBullet">
    <w:name w:val="Body Bullet"/>
    <w:basedOn w:val="BodyText"/>
    <w:next w:val="BodyText"/>
    <w:link w:val="BodyBulletChar"/>
    <w:qFormat/>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uiPriority w:val="20"/>
    <w:qFormat/>
    <w:rsid w:val="00BE29AE"/>
    <w:rPr>
      <w:i/>
      <w:iCs/>
    </w:rPr>
  </w:style>
  <w:style w:type="character" w:styleId="EndnoteReference">
    <w:name w:val="endnote reference"/>
    <w:basedOn w:val="DefaultParagraphFont"/>
    <w:rsid w:val="00BE29AE"/>
    <w:rPr>
      <w:vertAlign w:val="superscript"/>
    </w:rPr>
  </w:style>
  <w:style w:type="paragraph" w:styleId="EndnoteText">
    <w:name w:val="endnote text"/>
    <w:basedOn w:val="Normal"/>
    <w:link w:val="EndnoteTextChar"/>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nhideWhenUsed/>
    <w:rsid w:val="00BE29AE"/>
    <w:rPr>
      <w:vertAlign w:val="superscript"/>
    </w:rPr>
  </w:style>
  <w:style w:type="paragraph" w:styleId="FootnoteText">
    <w:name w:val="footnote text"/>
    <w:basedOn w:val="Normal"/>
    <w:link w:val="FootnoteTextChar"/>
    <w:unhideWhenUsed/>
    <w:rsid w:val="00BE29AE"/>
    <w:rPr>
      <w:sz w:val="20"/>
      <w:szCs w:val="20"/>
    </w:rPr>
  </w:style>
  <w:style w:type="character" w:customStyle="1" w:styleId="FootnoteTextChar">
    <w:name w:val="Footnote Text Char"/>
    <w:basedOn w:val="DefaultParagraphFont"/>
    <w:link w:val="FootnoteText"/>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4"/>
      </w:numPr>
      <w:contextualSpacing/>
    </w:pPr>
  </w:style>
  <w:style w:type="paragraph" w:styleId="ListBullet2">
    <w:name w:val="List Bullet 2"/>
    <w:basedOn w:val="Normal"/>
    <w:autoRedefine/>
    <w:uiPriority w:val="99"/>
    <w:unhideWhenUsed/>
    <w:rsid w:val="00BE29AE"/>
    <w:pPr>
      <w:numPr>
        <w:numId w:val="6"/>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uiPriority w:val="99"/>
    <w:qFormat/>
    <w:rsid w:val="00972327"/>
    <w:pPr>
      <w:spacing w:before="80"/>
      <w:ind w:right="3258"/>
    </w:pPr>
    <w:rPr>
      <w:rFonts w:ascii="Gill Sans" w:hAnsi="Gill Sans" w:cs="Gill Sans"/>
      <w:bCs/>
      <w:sz w:val="40"/>
      <w:szCs w:val="40"/>
    </w:rPr>
  </w:style>
  <w:style w:type="character" w:customStyle="1" w:styleId="SubtitleChar">
    <w:name w:val="Subtitle Char"/>
    <w:basedOn w:val="DefaultParagraphFont"/>
    <w:link w:val="Subtitle"/>
    <w:uiPriority w:val="99"/>
    <w:rsid w:val="00972327"/>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C2281E"/>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C2281E"/>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95680D"/>
    <w:pP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95680D"/>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99"/>
    <w:semiHidden/>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39"/>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95680D"/>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AE"/>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4016C"/>
    <w:pPr>
      <w:keepNext/>
      <w:pBdr>
        <w:bottom w:val="single" w:sz="4" w:space="1" w:color="auto"/>
      </w:pBdr>
      <w:suppressAutoHyphens/>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5907F8"/>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4016C"/>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5907F8"/>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iPriority w:val="99"/>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uiPriority w:val="99"/>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C41404"/>
    <w:pPr>
      <w:tabs>
        <w:tab w:val="right" w:pos="8730"/>
      </w:tabs>
    </w:pPr>
    <w:rPr>
      <w:b/>
      <w:noProof/>
      <w:szCs w:val="22"/>
    </w:rPr>
  </w:style>
  <w:style w:type="paragraph" w:styleId="TOC2">
    <w:name w:val="toc 2"/>
    <w:basedOn w:val="Normal"/>
    <w:next w:val="Normal"/>
    <w:autoRedefine/>
    <w:uiPriority w:val="39"/>
    <w:rsid w:val="00BE29AE"/>
    <w:pPr>
      <w:tabs>
        <w:tab w:val="right" w:leader="dot" w:pos="7830"/>
      </w:tabs>
      <w:ind w:left="216"/>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A667F6"/>
    <w:pPr>
      <w:tabs>
        <w:tab w:val="center" w:pos="5472"/>
        <w:tab w:val="right" w:pos="11074"/>
      </w:tabs>
    </w:pPr>
    <w:rPr>
      <w:sz w:val="19"/>
      <w:szCs w:val="20"/>
    </w:rPr>
  </w:style>
  <w:style w:type="character" w:customStyle="1" w:styleId="HeaderChar">
    <w:name w:val="Header Char"/>
    <w:basedOn w:val="DefaultParagraphFont"/>
    <w:link w:val="Header"/>
    <w:uiPriority w:val="99"/>
    <w:rsid w:val="00A667F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A667F6"/>
    <w:pPr>
      <w:tabs>
        <w:tab w:val="center" w:pos="4680"/>
        <w:tab w:val="right" w:pos="10980"/>
      </w:tabs>
    </w:pPr>
    <w:rPr>
      <w:sz w:val="16"/>
      <w:szCs w:val="20"/>
    </w:rPr>
  </w:style>
  <w:style w:type="character" w:customStyle="1" w:styleId="FooterChar">
    <w:name w:val="Footer Char"/>
    <w:basedOn w:val="DefaultParagraphFont"/>
    <w:link w:val="Footer"/>
    <w:rsid w:val="00A667F6"/>
    <w:rPr>
      <w:rFonts w:ascii="Palatino Linotype" w:eastAsia="Times New Roman" w:hAnsi="Palatino Linotype" w:cs="Times New Roman"/>
      <w:sz w:val="16"/>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rsid w:val="00147DE0"/>
    <w:pPr>
      <w:ind w:left="216" w:right="216"/>
    </w:pPr>
  </w:style>
  <w:style w:type="paragraph" w:customStyle="1" w:styleId="BodyBullet">
    <w:name w:val="Body Bullet"/>
    <w:basedOn w:val="BodyText"/>
    <w:next w:val="BodyText"/>
    <w:link w:val="BodyBulletChar"/>
    <w:qFormat/>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uiPriority w:val="20"/>
    <w:qFormat/>
    <w:rsid w:val="00BE29AE"/>
    <w:rPr>
      <w:i/>
      <w:iCs/>
    </w:rPr>
  </w:style>
  <w:style w:type="character" w:styleId="EndnoteReference">
    <w:name w:val="endnote reference"/>
    <w:basedOn w:val="DefaultParagraphFont"/>
    <w:rsid w:val="00BE29AE"/>
    <w:rPr>
      <w:vertAlign w:val="superscript"/>
    </w:rPr>
  </w:style>
  <w:style w:type="paragraph" w:styleId="EndnoteText">
    <w:name w:val="endnote text"/>
    <w:basedOn w:val="Normal"/>
    <w:link w:val="EndnoteTextChar"/>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nhideWhenUsed/>
    <w:rsid w:val="00BE29AE"/>
    <w:rPr>
      <w:vertAlign w:val="superscript"/>
    </w:rPr>
  </w:style>
  <w:style w:type="paragraph" w:styleId="FootnoteText">
    <w:name w:val="footnote text"/>
    <w:basedOn w:val="Normal"/>
    <w:link w:val="FootnoteTextChar"/>
    <w:unhideWhenUsed/>
    <w:rsid w:val="00BE29AE"/>
    <w:rPr>
      <w:sz w:val="20"/>
      <w:szCs w:val="20"/>
    </w:rPr>
  </w:style>
  <w:style w:type="character" w:customStyle="1" w:styleId="FootnoteTextChar">
    <w:name w:val="Footnote Text Char"/>
    <w:basedOn w:val="DefaultParagraphFont"/>
    <w:link w:val="FootnoteText"/>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4"/>
      </w:numPr>
      <w:contextualSpacing/>
    </w:pPr>
  </w:style>
  <w:style w:type="paragraph" w:styleId="ListBullet2">
    <w:name w:val="List Bullet 2"/>
    <w:basedOn w:val="Normal"/>
    <w:autoRedefine/>
    <w:uiPriority w:val="99"/>
    <w:unhideWhenUsed/>
    <w:rsid w:val="00BE29AE"/>
    <w:pPr>
      <w:numPr>
        <w:numId w:val="6"/>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uiPriority w:val="99"/>
    <w:qFormat/>
    <w:rsid w:val="00972327"/>
    <w:pPr>
      <w:spacing w:before="80"/>
      <w:ind w:right="3258"/>
    </w:pPr>
    <w:rPr>
      <w:rFonts w:ascii="Gill Sans" w:hAnsi="Gill Sans" w:cs="Gill Sans"/>
      <w:bCs/>
      <w:sz w:val="40"/>
      <w:szCs w:val="40"/>
    </w:rPr>
  </w:style>
  <w:style w:type="character" w:customStyle="1" w:styleId="SubtitleChar">
    <w:name w:val="Subtitle Char"/>
    <w:basedOn w:val="DefaultParagraphFont"/>
    <w:link w:val="Subtitle"/>
    <w:uiPriority w:val="99"/>
    <w:rsid w:val="00972327"/>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C2281E"/>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C2281E"/>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95680D"/>
    <w:pP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95680D"/>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99"/>
    <w:semiHidden/>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39"/>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95680D"/>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930627261">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3.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conservationtools.org/libraries/1/topics/77" TargetMode="External"/><Relationship Id="rId21" Type="http://schemas.openxmlformats.org/officeDocument/2006/relationships/hyperlink" Target="http://conservationtools.org/libraries/1/topics/190" TargetMode="External"/><Relationship Id="rId22" Type="http://schemas.openxmlformats.org/officeDocument/2006/relationships/hyperlink" Target="http://conservationtools.org/libraries/1/library_items/925" TargetMode="External"/><Relationship Id="rId23" Type="http://schemas.openxmlformats.org/officeDocument/2006/relationships/hyperlink" Target="http://conservationtools.org/libraries/1/library_items/1317" TargetMode="External"/><Relationship Id="rId24" Type="http://schemas.openxmlformats.org/officeDocument/2006/relationships/hyperlink" Target="http://conservationtools.org/libraries/1/library_items/323" TargetMode="External"/><Relationship Id="rId25" Type="http://schemas.openxmlformats.org/officeDocument/2006/relationships/hyperlink" Target="http://conservationtools.org/guides/show/138" TargetMode="External"/><Relationship Id="rId26" Type="http://schemas.openxmlformats.org/officeDocument/2006/relationships/hyperlink" Target="http://conservationtools.org/guides/show/103" TargetMode="External"/><Relationship Id="rId27" Type="http://schemas.openxmlformats.org/officeDocument/2006/relationships/hyperlink" Target="http://conservationtools.org/guides/show/19-Conservation-Easement" TargetMode="External"/><Relationship Id="rId28" Type="http://schemas.openxmlformats.org/officeDocument/2006/relationships/hyperlink" Target="http://conservationtools.org/guides/show/89" TargetMode="External"/><Relationship Id="rId29" Type="http://schemas.openxmlformats.org/officeDocument/2006/relationships/hyperlink" Target="http://conservationtools.org/guides/show/12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onservationtools.org/guides/show/121" TargetMode="External"/><Relationship Id="rId31" Type="http://schemas.openxmlformats.org/officeDocument/2006/relationships/hyperlink" Target="http://conservationtools.org/guides/show/136" TargetMode="External"/><Relationship Id="rId32" Type="http://schemas.openxmlformats.org/officeDocument/2006/relationships/hyperlink" Target="http://conservationtools.org/guides/show/137" TargetMode="External"/><Relationship Id="rId9" Type="http://schemas.openxmlformats.org/officeDocument/2006/relationships/hyperlink" Target="http://conservationtools.org/guides/show/138"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aloza@conserveland.org" TargetMode="External"/><Relationship Id="rId34" Type="http://schemas.openxmlformats.org/officeDocument/2006/relationships/hyperlink" Target="http://conservationtools.org/experts/general/show/13" TargetMode="External"/><Relationship Id="rId35" Type="http://schemas.openxmlformats.org/officeDocument/2006/relationships/hyperlink" Target="http://conservationtools.org/experts/show/4" TargetMode="External"/><Relationship Id="rId36" Type="http://schemas.openxmlformats.org/officeDocument/2006/relationships/image" Target="media/image1.jpg"/><Relationship Id="rId10" Type="http://schemas.openxmlformats.org/officeDocument/2006/relationships/hyperlink" Target="http://conservationtools.org/libraries/1/library_items/1317" TargetMode="External"/><Relationship Id="rId11" Type="http://schemas.openxmlformats.org/officeDocument/2006/relationships/hyperlink" Target="http://conservationtools.org/guides/show/138" TargetMode="External"/><Relationship Id="rId12" Type="http://schemas.openxmlformats.org/officeDocument/2006/relationships/hyperlink" Target="http://conservationtools.org/libraries/1/library_items/323" TargetMode="External"/><Relationship Id="rId13" Type="http://schemas.openxmlformats.org/officeDocument/2006/relationships/hyperlink" Target="http://conservationtools.org/guides/show/138" TargetMode="External"/><Relationship Id="rId14" Type="http://schemas.openxmlformats.org/officeDocument/2006/relationships/hyperlink" Target="http://conservationtools.org/libraries/1/library_items/1317" TargetMode="External"/><Relationship Id="rId15" Type="http://schemas.openxmlformats.org/officeDocument/2006/relationships/hyperlink" Target="http://conservationtools.org/guides/show/138" TargetMode="External"/><Relationship Id="rId16" Type="http://schemas.openxmlformats.org/officeDocument/2006/relationships/hyperlink" Target="http://conservationtools.org/guides/show/138" TargetMode="External"/><Relationship Id="rId17" Type="http://schemas.openxmlformats.org/officeDocument/2006/relationships/hyperlink" Target="http://conservationtools.org/libraries/1/library_items/1317" TargetMode="External"/><Relationship Id="rId18" Type="http://schemas.openxmlformats.org/officeDocument/2006/relationships/hyperlink" Target="http://conservationtools.org/guides/show/139" TargetMode="External"/><Relationship Id="rId19" Type="http://schemas.openxmlformats.org/officeDocument/2006/relationships/hyperlink" Target="http://conservationtools.org/libraries/1/topics/133" TargetMode="External"/><Relationship Id="rId37" Type="http://schemas.openxmlformats.org/officeDocument/2006/relationships/image" Target="media/image2.jpeg"/><Relationship Id="rId38" Type="http://schemas.openxmlformats.org/officeDocument/2006/relationships/image" Target="media/image3.gif"/><Relationship Id="rId39" Type="http://schemas.openxmlformats.org/officeDocument/2006/relationships/image" Target="media/image4.jpeg"/><Relationship Id="rId40" Type="http://schemas.openxmlformats.org/officeDocument/2006/relationships/image" Target="media/image5.jpeg"/><Relationship Id="rId41" Type="http://schemas.openxmlformats.org/officeDocument/2006/relationships/image" Target="media/image6.gif"/><Relationship Id="rId42" Type="http://schemas.openxmlformats.org/officeDocument/2006/relationships/hyperlink" Target="http://conservationtools.org" TargetMode="External"/><Relationship Id="rId43" Type="http://schemas.openxmlformats.org/officeDocument/2006/relationships/header" Target="header1.xml"/><Relationship Id="rId44" Type="http://schemas.openxmlformats.org/officeDocument/2006/relationships/header" Target="header2.xml"/><Relationship Id="rId45" Type="http://schemas.openxmlformats.org/officeDocument/2006/relationships/footer" Target="footer1.xml"/></Relationships>
</file>

<file path=word/_rels/footnotes.xml.rels><?xml version="1.0" encoding="UTF-8" standalone="yes"?>
<Relationships xmlns="http://schemas.openxmlformats.org/package/2006/relationships"><Relationship Id="rId9" Type="http://schemas.openxmlformats.org/officeDocument/2006/relationships/hyperlink" Target="http://conservationtools.org/guides/show/137" TargetMode="External"/><Relationship Id="rId20" Type="http://schemas.openxmlformats.org/officeDocument/2006/relationships/hyperlink" Target="http://conservationtools.org/guides/show/122" TargetMode="External"/><Relationship Id="rId21" Type="http://schemas.openxmlformats.org/officeDocument/2006/relationships/hyperlink" Target="http://conservationtools.org/libraries/1/library_items/1353" TargetMode="External"/><Relationship Id="rId22" Type="http://schemas.openxmlformats.org/officeDocument/2006/relationships/hyperlink" Target="http://www.irs.gov/pub/irs-tege/eotopicc90.pdf" TargetMode="External"/><Relationship Id="rId23" Type="http://schemas.openxmlformats.org/officeDocument/2006/relationships/hyperlink" Target="http://conservationtools.org/libraries/1/library_items/1354" TargetMode="External"/><Relationship Id="rId24" Type="http://schemas.openxmlformats.org/officeDocument/2006/relationships/hyperlink" Target="http://www.irs.gov/pub/irs-tege/eotopich01.pdf" TargetMode="External"/><Relationship Id="rId25" Type="http://schemas.openxmlformats.org/officeDocument/2006/relationships/hyperlink" Target="http://conservationtools.org/libraries/1/library_items/1355" TargetMode="External"/><Relationship Id="rId26" Type="http://schemas.openxmlformats.org/officeDocument/2006/relationships/hyperlink" Target="http://www.gpo.gov/fdsys/pkg/CFR-2012-title26-vol7/pdf/CFR-2012-title26-vol7-sec1-501c3-1.pdf" TargetMode="External"/><Relationship Id="rId10" Type="http://schemas.openxmlformats.org/officeDocument/2006/relationships/hyperlink" Target="http://conservationtools.org/guides/show/137" TargetMode="External"/><Relationship Id="rId11" Type="http://schemas.openxmlformats.org/officeDocument/2006/relationships/hyperlink" Target="http://conservationtools.org/guides/show/138" TargetMode="External"/><Relationship Id="rId12" Type="http://schemas.openxmlformats.org/officeDocument/2006/relationships/hyperlink" Target="http://conservationtools.org/guides/show/121" TargetMode="External"/><Relationship Id="rId13" Type="http://schemas.openxmlformats.org/officeDocument/2006/relationships/hyperlink" Target="http://conservationtools.org/guides/show/122" TargetMode="External"/><Relationship Id="rId14" Type="http://schemas.openxmlformats.org/officeDocument/2006/relationships/hyperlink" Target="http://ConservationTools.org" TargetMode="External"/><Relationship Id="rId15" Type="http://schemas.openxmlformats.org/officeDocument/2006/relationships/hyperlink" Target="http://conservationtools.org/libraries/1/library_items/323" TargetMode="External"/><Relationship Id="rId16" Type="http://schemas.openxmlformats.org/officeDocument/2006/relationships/hyperlink" Target="http://conservationtools.org/guides/show/138" TargetMode="External"/><Relationship Id="rId17" Type="http://schemas.openxmlformats.org/officeDocument/2006/relationships/hyperlink" Target="http://conservationtools.org/guides/show/121" TargetMode="External"/><Relationship Id="rId18" Type="http://schemas.openxmlformats.org/officeDocument/2006/relationships/hyperlink" Target="http://conservationtools.org/guides/show/103" TargetMode="External"/><Relationship Id="rId19" Type="http://schemas.openxmlformats.org/officeDocument/2006/relationships/hyperlink" Target="http://conservationtools.org/guides/show/103" TargetMode="External"/><Relationship Id="rId1" Type="http://schemas.openxmlformats.org/officeDocument/2006/relationships/hyperlink" Target="http://conservationtools.org/guides/show/89" TargetMode="External"/><Relationship Id="rId2" Type="http://schemas.openxmlformats.org/officeDocument/2006/relationships/hyperlink" Target="http://conservationtools.org/guides/show/138" TargetMode="External"/><Relationship Id="rId3" Type="http://schemas.openxmlformats.org/officeDocument/2006/relationships/hyperlink" Target="http://conservationtools.org/guides/show/138" TargetMode="External"/><Relationship Id="rId4" Type="http://schemas.openxmlformats.org/officeDocument/2006/relationships/hyperlink" Target="http://conservationtools.org/guides/show/138" TargetMode="External"/><Relationship Id="rId5" Type="http://schemas.openxmlformats.org/officeDocument/2006/relationships/hyperlink" Target="http://conservationtools.org/libraries/1/library_items/1317" TargetMode="External"/><Relationship Id="rId6" Type="http://schemas.openxmlformats.org/officeDocument/2006/relationships/hyperlink" Target="http://conservationtools.org/guides/show/138" TargetMode="External"/><Relationship Id="rId7" Type="http://schemas.openxmlformats.org/officeDocument/2006/relationships/hyperlink" Target="http://conservationtools.org/guides/show/136" TargetMode="External"/><Relationship Id="rId8" Type="http://schemas.openxmlformats.org/officeDocument/2006/relationships/hyperlink" Target="http://conservationtools.org/guides/show/13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wloza:Documents:CT%20General:CT%20Guide%20Template14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B0DAB21-BBD2-AA4B-B164-449323C5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 Guide Template140211.dotx</Template>
  <TotalTime>34</TotalTime>
  <Pages>20</Pages>
  <Words>9648</Words>
  <Characters>53165</Characters>
  <Application>Microsoft Macintosh Word</Application>
  <DocSecurity>0</DocSecurity>
  <Lines>1399</Lines>
  <Paragraphs>325</Paragraphs>
  <ScaleCrop>false</ScaleCrop>
  <HeadingPairs>
    <vt:vector size="4" baseType="variant">
      <vt:variant>
        <vt:lpstr>Title</vt:lpstr>
      </vt:variant>
      <vt:variant>
        <vt:i4>1</vt:i4>
      </vt:variant>
      <vt:variant>
        <vt:lpstr>Headings</vt:lpstr>
      </vt:variant>
      <vt:variant>
        <vt:i4>73</vt:i4>
      </vt:variant>
    </vt:vector>
  </HeadingPairs>
  <TitlesOfParts>
    <vt:vector size="74" baseType="lpstr">
      <vt:lpstr/>
      <vt:lpstr>Content and Relationship to Other Guidance</vt:lpstr>
      <vt:lpstr>Basic Constraints on Amendment</vt:lpstr>
      <vt:lpstr>    Freedom to Amend</vt:lpstr>
      <vt:lpstr>    Holder Duties under the Grant</vt:lpstr>
      <vt:lpstr>    Legal Constraints</vt:lpstr>
      <vt:lpstr>General Rules for Amendment, Release or Termination of Grant</vt:lpstr>
      <vt:lpstr>    Amendment of Grant</vt:lpstr>
      <vt:lpstr>        Pennsylvania law</vt:lpstr>
      <vt:lpstr>        Grant provisions regarding amendment</vt:lpstr>
      <vt:lpstr>    Release of Easement</vt:lpstr>
      <vt:lpstr>        Voluntary release and termination</vt:lpstr>
      <vt:lpstr>        Involuntary release by exercise of power of eminent domain</vt:lpstr>
      <vt:lpstr>What Is Being Enforced? What is Being Amended?</vt:lpstr>
      <vt:lpstr>    Enforcement</vt:lpstr>
      <vt:lpstr>    Differentiating Amendments That Do or Do Not Raise Enforcement Issues</vt:lpstr>
      <vt:lpstr>        Does the change affect key components of the definition of a conservation easeme</vt:lpstr>
      <vt:lpstr>        Is the effect adverse to or supportive of conservation objectives?</vt:lpstr>
      <vt:lpstr>Responsibilities for Amendment Decisions</vt:lpstr>
      <vt:lpstr>    Duty to Manage Charitable Assets Responsibly</vt:lpstr>
      <vt:lpstr>    Board Generally Must Approve</vt:lpstr>
      <vt:lpstr>    Fiduciary Duty of Directors to Make a Business Judgment in Good Faith</vt:lpstr>
      <vt:lpstr>        Duty of individual directors</vt:lpstr>
      <vt:lpstr>        Highest standard of faithfulness to the holder</vt:lpstr>
      <vt:lpstr>        Duty to be informed</vt:lpstr>
      <vt:lpstr>        Duty to act in best interest of charity in furtherance of its charitable mission</vt:lpstr>
      <vt:lpstr>        Directors are in best position to make amendment decisions</vt:lpstr>
      <vt:lpstr>Risks to Holder’s Status as a Qualified Organization under IRC Charitable Gift R</vt:lpstr>
      <vt:lpstr>    Commitment to Protect</vt:lpstr>
      <vt:lpstr>    Resources to Enforce</vt:lpstr>
      <vt:lpstr>Risks to Holder’s Status as a Tax Exempt Charity under IRC Charitable Exemption </vt:lpstr>
      <vt:lpstr>    Private Inurement</vt:lpstr>
      <vt:lpstr>        Charitable organizations may not provide economic benefits to insiders</vt:lpstr>
      <vt:lpstr>        Any amount is fatal to revocation of tax-exempt status</vt:lpstr>
      <vt:lpstr>        Standard of reasonableness</vt:lpstr>
      <vt:lpstr>        Who is an insider or other influential person?</vt:lpstr>
      <vt:lpstr>    Private Benefit</vt:lpstr>
      <vt:lpstr>        Purpose of Rule</vt:lpstr>
      <vt:lpstr>        Differentiating primary purpose from incidental benefit</vt:lpstr>
      <vt:lpstr>    Application to Easement Amendments</vt:lpstr>
      <vt:lpstr>        Amendment may benefit both landowner and public</vt:lpstr>
      <vt:lpstr>        Analyzing private benefit - incidental versus impermissible </vt:lpstr>
      <vt:lpstr>        Qualitative Test</vt:lpstr>
      <vt:lpstr>        Quantitative Test</vt:lpstr>
      <vt:lpstr>    Illustration of Application of Qualitative and Quantitative Tests</vt:lpstr>
      <vt:lpstr>        Application of operational test </vt:lpstr>
      <vt:lpstr>        Application of Qualitative Test </vt:lpstr>
      <vt:lpstr>        Application of Quantitative Test Results in No Clear Answers</vt:lpstr>
      <vt:lpstr>Quantitative Test Invalid as Applied to Easement Amendments?</vt:lpstr>
      <vt:lpstr>    Administrative Rule Must Be Consistent with Statute and Regulations</vt:lpstr>
      <vt:lpstr>    Quantitative Test Disregards Public Benefit</vt:lpstr>
      <vt:lpstr>        Public benefit is key factor</vt:lpstr>
      <vt:lpstr>        Intent to benefit public or private interest </vt:lpstr>
      <vt:lpstr>    Before-and-After Valuation Inappropriate for Purposes of Weighing Public vs. Pri</vt:lpstr>
      <vt:lpstr>        Monetization of conservation easement unnecessary</vt:lpstr>
      <vt:lpstr>        Before-and-after valuation from IRC charitable gift rules is misapplied to IRC c</vt:lpstr>
      <vt:lpstr>    Consideration of Non-monetary Public Benefit is Required by IRC Charitable Exemp</vt:lpstr>
      <vt:lpstr>Harmonize Quantitative Test with Other Avenues of Inquiry to Evaluate Permissibl</vt:lpstr>
      <vt:lpstr>    Apply Standard Applicable to Excess Benefit Transactions</vt:lpstr>
      <vt:lpstr>        Factors qualifying for rebuttable presumption of reasonableness</vt:lpstr>
      <vt:lpstr>        Example based on amendment scenario</vt:lpstr>
      <vt:lpstr>        Application of rebuttable presumption of reasonableness to amendment scenario</vt:lpstr>
      <vt:lpstr>    Apply Standard Applicable to Private Inurement Inquiry</vt:lpstr>
      <vt:lpstr>    Apply the Private Benefit Test so as to be Consistent with Governance Responsibi</vt:lpstr>
      <vt:lpstr>Strategies to Minimize Risk of Adverse Consequences to Holder</vt:lpstr>
      <vt:lpstr>    Indemnity</vt:lpstr>
      <vt:lpstr>    Agreement to Unwind</vt:lpstr>
      <vt:lpstr>    Opinion of Tax Counsel </vt:lpstr>
      <vt:lpstr>    Letter Ruling</vt:lpstr>
      <vt:lpstr>    Attorney General No-action Letter</vt:lpstr>
      <vt:lpstr>Resources at ConservationTools.org</vt:lpstr>
      <vt:lpstr>        Library Categories</vt:lpstr>
      <vt:lpstr>        Featured Library Items</vt:lpstr>
      <vt:lpstr>        Related Guides</vt:lpstr>
    </vt:vector>
  </TitlesOfParts>
  <Company>Pennsylvania Land Trust Association</Company>
  <LinksUpToDate>false</LinksUpToDate>
  <CharactersWithSpaces>62488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Loza</cp:lastModifiedBy>
  <cp:revision>5</cp:revision>
  <cp:lastPrinted>2014-11-18T18:03:00Z</cp:lastPrinted>
  <dcterms:created xsi:type="dcterms:W3CDTF">2015-03-24T14:07:00Z</dcterms:created>
  <dcterms:modified xsi:type="dcterms:W3CDTF">2015-03-24T16:35:00Z</dcterms:modified>
</cp:coreProperties>
</file>